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655" w:rsidRPr="00D92655" w:rsidRDefault="00D92655" w:rsidP="00D92655">
      <w:pPr>
        <w:shd w:val="clear" w:color="auto" w:fill="FAFAFA"/>
        <w:spacing w:before="100" w:beforeAutospacing="1" w:after="100" w:afterAutospacing="1" w:line="525" w:lineRule="atLeast"/>
        <w:textAlignment w:val="baseline"/>
        <w:outlineLvl w:val="0"/>
        <w:rPr>
          <w:rFonts w:ascii="Arial" w:eastAsia="Times New Roman" w:hAnsi="Arial" w:cs="Arial"/>
          <w:noProof/>
          <w:color w:val="DD060B"/>
          <w:kern w:val="36"/>
          <w:sz w:val="39"/>
          <w:szCs w:val="39"/>
        </w:rPr>
      </w:pPr>
      <w:permStart w:id="0" w:edGrp="everyone"/>
      <w:permEnd w:id="0"/>
      <w:r w:rsidRPr="00D92655">
        <w:rPr>
          <w:rFonts w:ascii="Arial" w:eastAsia="Times New Roman" w:hAnsi="Arial" w:cs="Arial"/>
          <w:noProof/>
          <w:color w:val="DD060B"/>
          <w:kern w:val="36"/>
          <w:sz w:val="39"/>
          <w:szCs w:val="39"/>
        </w:rPr>
        <w:t>First Canadian clinical trial studying ability of mesenchymal stem cells to treat multiple sclerosis</w:t>
      </w:r>
    </w:p>
    <w:p w:rsidR="00D92655" w:rsidRPr="00D92655" w:rsidRDefault="00D92655" w:rsidP="00D92655">
      <w:pPr>
        <w:shd w:val="clear" w:color="auto" w:fill="FAFAFA"/>
        <w:spacing w:after="0" w:line="240" w:lineRule="auto"/>
        <w:textAlignment w:val="baseline"/>
        <w:rPr>
          <w:rFonts w:ascii="Arial" w:eastAsia="Times New Roman" w:hAnsi="Arial" w:cs="Arial"/>
          <w:noProof/>
          <w:color w:val="777777"/>
          <w:sz w:val="24"/>
          <w:szCs w:val="24"/>
        </w:rPr>
      </w:pPr>
      <w:r w:rsidRPr="00D92655">
        <w:rPr>
          <w:rFonts w:ascii="Arial" w:eastAsia="Times New Roman" w:hAnsi="Arial" w:cs="Arial"/>
          <w:noProof/>
          <w:color w:val="777777"/>
          <w:sz w:val="24"/>
          <w:szCs w:val="24"/>
        </w:rPr>
        <w:t>January 29, 2015 </w:t>
      </w:r>
    </w:p>
    <w:p w:rsidR="00D92655" w:rsidRPr="00D92655" w:rsidRDefault="00D92655" w:rsidP="00D92655">
      <w:pPr>
        <w:shd w:val="clear" w:color="auto" w:fill="FAFAFA"/>
        <w:spacing w:before="420" w:after="75" w:line="390" w:lineRule="atLeast"/>
        <w:textAlignment w:val="baseline"/>
        <w:outlineLvl w:val="2"/>
        <w:rPr>
          <w:rFonts w:ascii="Arial" w:eastAsia="Times New Roman" w:hAnsi="Arial" w:cs="Arial"/>
          <w:b/>
          <w:bCs/>
          <w:noProof/>
          <w:color w:val="333333"/>
          <w:sz w:val="30"/>
          <w:szCs w:val="30"/>
        </w:rPr>
      </w:pPr>
      <w:r w:rsidRPr="00D92655">
        <w:rPr>
          <w:rFonts w:ascii="Arial" w:eastAsia="Times New Roman" w:hAnsi="Arial" w:cs="Arial"/>
          <w:b/>
          <w:bCs/>
          <w:noProof/>
          <w:color w:val="333333"/>
          <w:sz w:val="30"/>
          <w:szCs w:val="30"/>
        </w:rPr>
        <w:t>Researchers enrolling participants at sites in Winnipeg and Ottawa</w:t>
      </w:r>
    </w:p>
    <w:p w:rsidR="00D92655" w:rsidRPr="00D92655" w:rsidRDefault="00D92655" w:rsidP="00D92655">
      <w:pPr>
        <w:shd w:val="clear" w:color="auto" w:fill="FAFAFA"/>
        <w:spacing w:after="0" w:line="345" w:lineRule="atLeast"/>
        <w:textAlignment w:val="baseline"/>
        <w:rPr>
          <w:rFonts w:ascii="Arial" w:eastAsia="Times New Roman" w:hAnsi="Arial" w:cs="Arial"/>
          <w:noProof/>
          <w:color w:val="000000"/>
          <w:sz w:val="21"/>
          <w:szCs w:val="21"/>
        </w:rPr>
      </w:pPr>
      <w:r w:rsidRPr="00D92655">
        <w:rPr>
          <w:rFonts w:ascii="inherit" w:eastAsia="Times New Roman" w:hAnsi="inherit" w:cs="Arial"/>
          <w:b/>
          <w:bCs/>
          <w:noProof/>
          <w:color w:val="000000"/>
          <w:sz w:val="21"/>
          <w:szCs w:val="21"/>
          <w:bdr w:val="none" w:sz="0" w:space="0" w:color="auto" w:frame="1"/>
        </w:rPr>
        <w:br/>
      </w:r>
      <w:r w:rsidRPr="00D92655">
        <w:rPr>
          <w:rFonts w:ascii="inherit" w:eastAsia="Times New Roman" w:hAnsi="inherit" w:cs="Arial"/>
          <w:b/>
          <w:bCs/>
          <w:noProof/>
          <w:color w:val="000000"/>
          <w:sz w:val="21"/>
        </w:rPr>
        <w:t>January 29, 2015 – Toronto</w:t>
      </w:r>
      <w:r w:rsidRPr="00D92655">
        <w:rPr>
          <w:rFonts w:ascii="Arial" w:eastAsia="Times New Roman" w:hAnsi="Arial" w:cs="Arial"/>
          <w:noProof/>
          <w:color w:val="000000"/>
          <w:sz w:val="21"/>
        </w:rPr>
        <w:t> </w:t>
      </w:r>
      <w:r w:rsidRPr="00D92655">
        <w:rPr>
          <w:rFonts w:ascii="Arial" w:eastAsia="Times New Roman" w:hAnsi="Arial" w:cs="Arial"/>
          <w:noProof/>
          <w:color w:val="000000"/>
          <w:sz w:val="21"/>
          <w:szCs w:val="21"/>
        </w:rPr>
        <w:t>– The Multiple Sclerosis Society of Canada and the Multiple Sclerosis Scientific Research Foundation announced today a $4.2 million grant  in support of the MEsenchymal Stem cell therapy for CAnadian MS patients (MESCAMS) study led by </w:t>
      </w:r>
      <w:hyperlink r:id="rId5" w:tgtFrame="_blank" w:history="1">
        <w:r w:rsidRPr="00D92655">
          <w:rPr>
            <w:rFonts w:ascii="inherit" w:eastAsia="Times New Roman" w:hAnsi="inherit" w:cs="Arial"/>
            <w:noProof/>
            <w:color w:val="DD060B"/>
            <w:sz w:val="21"/>
            <w:u w:val="single"/>
          </w:rPr>
          <w:t>Dr. Mark S. Freedman</w:t>
        </w:r>
      </w:hyperlink>
      <w:r w:rsidRPr="00D92655">
        <w:rPr>
          <w:rFonts w:ascii="Arial" w:eastAsia="Times New Roman" w:hAnsi="Arial" w:cs="Arial"/>
          <w:noProof/>
          <w:color w:val="000000"/>
          <w:sz w:val="21"/>
        </w:rPr>
        <w:t> </w:t>
      </w:r>
      <w:r w:rsidRPr="00D92655">
        <w:rPr>
          <w:rFonts w:ascii="Arial" w:eastAsia="Times New Roman" w:hAnsi="Arial" w:cs="Arial"/>
          <w:noProof/>
          <w:color w:val="000000"/>
          <w:sz w:val="21"/>
          <w:szCs w:val="21"/>
        </w:rPr>
        <w:t>(Ottawa Hospital Research Institute / University of Ottawa), who is also the principal investigator at the Ottawa site, along with the principal investigator of the Winnipeg site  </w:t>
      </w:r>
      <w:hyperlink r:id="rId6" w:tgtFrame="_blank" w:history="1">
        <w:r w:rsidRPr="00D92655">
          <w:rPr>
            <w:rFonts w:ascii="inherit" w:eastAsia="Times New Roman" w:hAnsi="inherit" w:cs="Arial"/>
            <w:noProof/>
            <w:color w:val="DD060B"/>
            <w:sz w:val="21"/>
            <w:u w:val="single"/>
          </w:rPr>
          <w:t>Dr. James J. Marriott</w:t>
        </w:r>
      </w:hyperlink>
      <w:r w:rsidRPr="00D92655">
        <w:rPr>
          <w:rFonts w:ascii="Arial" w:eastAsia="Times New Roman" w:hAnsi="Arial" w:cs="Arial"/>
          <w:noProof/>
          <w:color w:val="000000"/>
          <w:sz w:val="21"/>
        </w:rPr>
        <w:t> </w:t>
      </w:r>
      <w:r w:rsidRPr="00D92655">
        <w:rPr>
          <w:rFonts w:ascii="Arial" w:eastAsia="Times New Roman" w:hAnsi="Arial" w:cs="Arial"/>
          <w:noProof/>
          <w:color w:val="000000"/>
          <w:sz w:val="21"/>
          <w:szCs w:val="21"/>
        </w:rPr>
        <w:t>(University of Manitoba) and colleagues. </w:t>
      </w:r>
      <w:hyperlink r:id="rId7" w:history="1">
        <w:r w:rsidRPr="00D92655">
          <w:rPr>
            <w:rFonts w:ascii="inherit" w:eastAsia="Times New Roman" w:hAnsi="inherit" w:cs="Arial"/>
            <w:noProof/>
            <w:color w:val="DD060B"/>
            <w:sz w:val="21"/>
            <w:u w:val="single"/>
          </w:rPr>
          <w:t>Mesenchymal stem cells</w:t>
        </w:r>
      </w:hyperlink>
      <w:r w:rsidRPr="00D92655">
        <w:rPr>
          <w:rFonts w:ascii="Arial" w:eastAsia="Times New Roman" w:hAnsi="Arial" w:cs="Arial"/>
          <w:noProof/>
          <w:color w:val="000000"/>
          <w:sz w:val="21"/>
        </w:rPr>
        <w:t> </w:t>
      </w:r>
      <w:r w:rsidRPr="00D92655">
        <w:rPr>
          <w:rFonts w:ascii="Arial" w:eastAsia="Times New Roman" w:hAnsi="Arial" w:cs="Arial"/>
          <w:noProof/>
          <w:color w:val="000000"/>
          <w:sz w:val="21"/>
          <w:szCs w:val="21"/>
        </w:rPr>
        <w:t>(MSC) – found in many places in the body including the bone marrow, skin and fat – have been demonstrated to suppress inflammation and repair nerve tissue, positioning them as promising candidates for the treatment of MS. As a number of pioneering small studies have established the safety of administering MSC in humans, the excitement surrounding MESCAMS is profound. Taking place at two Canadian sites – located at </w:t>
      </w:r>
      <w:hyperlink r:id="rId8" w:tgtFrame="_blank" w:history="1">
        <w:r w:rsidRPr="00D92655">
          <w:rPr>
            <w:rFonts w:ascii="inherit" w:eastAsia="Times New Roman" w:hAnsi="inherit" w:cs="Arial"/>
            <w:noProof/>
            <w:color w:val="DD060B"/>
            <w:sz w:val="21"/>
            <w:u w:val="single"/>
          </w:rPr>
          <w:t>The Ottawa Hospital</w:t>
        </w:r>
      </w:hyperlink>
      <w:r w:rsidRPr="00D92655">
        <w:rPr>
          <w:rFonts w:ascii="Arial" w:eastAsia="Times New Roman" w:hAnsi="Arial" w:cs="Arial"/>
          <w:noProof/>
          <w:color w:val="000000"/>
          <w:sz w:val="21"/>
        </w:rPr>
        <w:t> </w:t>
      </w:r>
      <w:r w:rsidRPr="00D92655">
        <w:rPr>
          <w:rFonts w:ascii="Arial" w:eastAsia="Times New Roman" w:hAnsi="Arial" w:cs="Arial"/>
          <w:noProof/>
          <w:color w:val="000000"/>
          <w:sz w:val="21"/>
          <w:szCs w:val="21"/>
        </w:rPr>
        <w:t>and </w:t>
      </w:r>
      <w:hyperlink r:id="rId9" w:tgtFrame="_blank" w:history="1">
        <w:r w:rsidRPr="00D92655">
          <w:rPr>
            <w:rFonts w:ascii="inherit" w:eastAsia="Times New Roman" w:hAnsi="inherit" w:cs="Arial"/>
            <w:noProof/>
            <w:color w:val="DD060B"/>
            <w:sz w:val="21"/>
            <w:u w:val="single"/>
          </w:rPr>
          <w:t>Health Sciences Centre (HSC) Winnipeg</w:t>
        </w:r>
      </w:hyperlink>
      <w:r w:rsidRPr="00D92655">
        <w:rPr>
          <w:rFonts w:ascii="Arial" w:eastAsia="Times New Roman" w:hAnsi="Arial" w:cs="Arial"/>
          <w:noProof/>
          <w:color w:val="000000"/>
          <w:sz w:val="21"/>
        </w:rPr>
        <w:t> </w:t>
      </w:r>
      <w:r w:rsidRPr="00D92655">
        <w:rPr>
          <w:rFonts w:ascii="Arial" w:eastAsia="Times New Roman" w:hAnsi="Arial" w:cs="Arial"/>
          <w:noProof/>
          <w:color w:val="000000"/>
          <w:sz w:val="21"/>
          <w:szCs w:val="21"/>
        </w:rPr>
        <w:t>– MESCAMS will provide more definitive answers regarding the use of MSC to treat persons living with MS. </w:t>
      </w:r>
    </w:p>
    <w:p w:rsidR="00D92655" w:rsidRPr="00D92655" w:rsidRDefault="00D92655" w:rsidP="00D92655">
      <w:pPr>
        <w:shd w:val="clear" w:color="auto" w:fill="FAFAFA"/>
        <w:spacing w:after="300" w:line="345" w:lineRule="atLeast"/>
        <w:textAlignment w:val="baseline"/>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br/>
        <w:t>“The MS Society of Canada is proud to be investing in the first Canadian clinical trial studying the ability of mesenchymal stem cells to treat multiple sclerosis,” says Yves Savoie, president and CEO, MS Society of Canada. “As Canada has the highest rate of the MS in the world, we are excited that Canadian researchers are among the leaders in developing a novel and effective cell-based treatment for individuals with all forms of this unpredictable disease – which would be a major breakthrough in the MS research community.” </w:t>
      </w:r>
    </w:p>
    <w:p w:rsidR="00D92655" w:rsidRPr="00D92655" w:rsidRDefault="00D92655" w:rsidP="00D92655">
      <w:pPr>
        <w:shd w:val="clear" w:color="auto" w:fill="FAFAFA"/>
        <w:spacing w:after="300" w:line="345" w:lineRule="atLeast"/>
        <w:textAlignment w:val="baseline"/>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 xml:space="preserve">“When I was diagnosed with a highly aggressive form of multiple sclerosis, I was told that my treatment options were limited and that there was a good chance I would eventually wind up in a wheelchair,” says Alex Normandin. “As a result of my participation in a previous stem cell clinical trial, led by Dr. Freedman and his team using a different type of stem cell, the progression of my disease has been arrested, I was able to return to medical school and am now able to practice the career I love as a fully licensed family physician. Stem cell research has given me my life back,” he continues, “and there is still so much more to be learned. I am excited by the news of MESCAMS </w:t>
      </w:r>
      <w:r w:rsidRPr="00D92655">
        <w:rPr>
          <w:rFonts w:ascii="Arial" w:eastAsia="Times New Roman" w:hAnsi="Arial" w:cs="Arial"/>
          <w:noProof/>
          <w:color w:val="000000"/>
          <w:sz w:val="21"/>
          <w:szCs w:val="21"/>
        </w:rPr>
        <w:lastRenderedPageBreak/>
        <w:t>and I look forward to seeing what other life changing therapies may result from future work in the area of stem cells.”</w:t>
      </w:r>
    </w:p>
    <w:p w:rsidR="00D92655" w:rsidRPr="00D92655" w:rsidRDefault="00D92655" w:rsidP="00D92655">
      <w:pPr>
        <w:shd w:val="clear" w:color="auto" w:fill="FAFAFA"/>
        <w:spacing w:after="300" w:line="345" w:lineRule="atLeast"/>
        <w:textAlignment w:val="baseline"/>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MESCAMS is part of a larger, international research effort studying MSC, led by Dr. Freedman and his Co-lead Principal Investigator Dr. A. Uccelli (Genoa, Italy). The international effort will allow for scientific resources to be pooled and offer expertise from nine countries worldwide undertaking parallel research. This effort will also assist in developing an international consensus on safe protocols for MSC treatment.</w:t>
      </w:r>
    </w:p>
    <w:p w:rsidR="00D92655" w:rsidRPr="00D92655" w:rsidRDefault="00D92655" w:rsidP="00D92655">
      <w:pPr>
        <w:shd w:val="clear" w:color="auto" w:fill="FAFAFA"/>
        <w:spacing w:after="300" w:line="345" w:lineRule="atLeast"/>
        <w:textAlignment w:val="baseline"/>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“Canada, with its two specialized stem cell clinical trial sites, is perched to make a huge contribution of twenty-five per cent of participants within the international collaboration,” says Dr. Mark S. Freedman. “Together with our colleagues around the world, we will be able to arrive at answers more quickly in terms of the promise that mesenchymal cells hold in their ability for repair in MS – something that those living with this disease are most hopeful for.”  </w:t>
      </w:r>
    </w:p>
    <w:p w:rsidR="00D92655" w:rsidRPr="00D92655" w:rsidRDefault="00D92655" w:rsidP="00D92655">
      <w:pPr>
        <w:shd w:val="clear" w:color="auto" w:fill="FAFAFA"/>
        <w:spacing w:after="300" w:line="345" w:lineRule="atLeast"/>
        <w:textAlignment w:val="baseline"/>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“We are excited to be able to offer this new clinical trial to Manitobans with MS,” says Dr. James J. Marriott. “This is a promising area and we hope this study will demonstrate the safety and feasibility of this therapy, and ultimately lead to further research and new treatments.”</w:t>
      </w:r>
    </w:p>
    <w:p w:rsidR="00D92655" w:rsidRPr="00D92655" w:rsidRDefault="00D92655" w:rsidP="00D92655">
      <w:pPr>
        <w:shd w:val="clear" w:color="auto" w:fill="FAFAFA"/>
        <w:spacing w:after="0" w:line="345" w:lineRule="atLeast"/>
        <w:textAlignment w:val="baseline"/>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MESCAMS will put to test the remarkable potential of MSC for reducing harmful inflammation and promoting healing of injured tissue as well as fully determine their safety profile in individuals with MS.  A total of 40 study participants (20 per site) will receive intravenous treatment of their own bone marrow extracted MSC at either the start of the study or at 24 weeks. Those who do not receive MSC will instead receive a mock solution; this is done to determine if the effects of the stem cells are real or attributed to a placebo effect. Unlike </w:t>
      </w:r>
      <w:r w:rsidRPr="00D92655">
        <w:rPr>
          <w:rFonts w:ascii="Arial" w:eastAsia="Times New Roman" w:hAnsi="Arial" w:cs="Arial"/>
          <w:noProof/>
          <w:color w:val="000000"/>
          <w:sz w:val="21"/>
        </w:rPr>
        <w:t> </w:t>
      </w:r>
      <w:hyperlink r:id="rId10" w:history="1">
        <w:r w:rsidRPr="00D92655">
          <w:rPr>
            <w:rFonts w:ascii="inherit" w:eastAsia="Times New Roman" w:hAnsi="inherit" w:cs="Arial"/>
            <w:noProof/>
            <w:color w:val="DD060B"/>
            <w:sz w:val="21"/>
            <w:u w:val="single"/>
          </w:rPr>
          <w:t>previous studies</w:t>
        </w:r>
      </w:hyperlink>
      <w:r w:rsidRPr="00D92655">
        <w:rPr>
          <w:rFonts w:ascii="Arial" w:eastAsia="Times New Roman" w:hAnsi="Arial" w:cs="Arial"/>
          <w:noProof/>
          <w:color w:val="000000"/>
          <w:sz w:val="21"/>
        </w:rPr>
        <w:t> </w:t>
      </w:r>
      <w:r w:rsidRPr="00D92655">
        <w:rPr>
          <w:rFonts w:ascii="Arial" w:eastAsia="Times New Roman" w:hAnsi="Arial" w:cs="Arial"/>
          <w:noProof/>
          <w:color w:val="000000"/>
          <w:sz w:val="21"/>
          <w:szCs w:val="21"/>
        </w:rPr>
        <w:t>involving transplantation of hematopoietic stem cells to re-boot the immune system, there is no requirement for chemotherapy in MESCAMS. As well, there is no concern regarding rejection of the cells as they are harvested from the individuals receiving the treatment (i.e. they are autologous stem cells). The trial is expected to begin in early 2015. For further details regarding study eligibility and enrollment, the public may visit </w:t>
      </w:r>
      <w:hyperlink r:id="rId11" w:tgtFrame="_blank" w:history="1">
        <w:r w:rsidRPr="00D92655">
          <w:rPr>
            <w:rFonts w:ascii="inherit" w:eastAsia="Times New Roman" w:hAnsi="inherit" w:cs="Arial"/>
            <w:noProof/>
            <w:color w:val="DD060B"/>
            <w:sz w:val="21"/>
            <w:u w:val="single"/>
          </w:rPr>
          <w:t>clinicaltrials.gov/show/NCT02239393.</w:t>
        </w:r>
      </w:hyperlink>
    </w:p>
    <w:p w:rsidR="00D92655" w:rsidRPr="00D92655" w:rsidRDefault="00D92655" w:rsidP="00D92655">
      <w:pPr>
        <w:shd w:val="clear" w:color="auto" w:fill="FAFAFA"/>
        <w:spacing w:after="0" w:line="345" w:lineRule="atLeast"/>
        <w:textAlignment w:val="baseline"/>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The grant announced by the MS Society of Canada and the Multiple Sclerosis Scientific Research Foundation for MESCAMS is also supported by proud funders </w:t>
      </w:r>
      <w:r w:rsidRPr="00D92655">
        <w:rPr>
          <w:rFonts w:ascii="Arial" w:eastAsia="Times New Roman" w:hAnsi="Arial" w:cs="Arial"/>
          <w:noProof/>
          <w:color w:val="000000"/>
          <w:sz w:val="21"/>
        </w:rPr>
        <w:t> </w:t>
      </w:r>
      <w:hyperlink r:id="rId12" w:tgtFrame="_blank" w:history="1">
        <w:r w:rsidRPr="00D92655">
          <w:rPr>
            <w:rFonts w:ascii="inherit" w:eastAsia="Times New Roman" w:hAnsi="inherit" w:cs="Arial"/>
            <w:noProof/>
            <w:color w:val="DD060B"/>
            <w:sz w:val="21"/>
            <w:u w:val="single"/>
          </w:rPr>
          <w:t>Research Manitoba</w:t>
        </w:r>
      </w:hyperlink>
      <w:r w:rsidRPr="00D92655">
        <w:rPr>
          <w:rFonts w:ascii="Arial" w:eastAsia="Times New Roman" w:hAnsi="Arial" w:cs="Arial"/>
          <w:noProof/>
          <w:color w:val="000000"/>
          <w:sz w:val="21"/>
        </w:rPr>
        <w:t> </w:t>
      </w:r>
      <w:r w:rsidRPr="00D92655">
        <w:rPr>
          <w:rFonts w:ascii="Arial" w:eastAsia="Times New Roman" w:hAnsi="Arial" w:cs="Arial"/>
          <w:noProof/>
          <w:color w:val="000000"/>
          <w:sz w:val="21"/>
          <w:szCs w:val="21"/>
        </w:rPr>
        <w:t>($1.5 million) and </w:t>
      </w:r>
      <w:hyperlink r:id="rId13" w:tgtFrame="_blank" w:history="1">
        <w:r w:rsidRPr="00D92655">
          <w:rPr>
            <w:rFonts w:ascii="inherit" w:eastAsia="Times New Roman" w:hAnsi="inherit" w:cs="Arial"/>
            <w:noProof/>
            <w:color w:val="DD060B"/>
            <w:sz w:val="21"/>
            <w:u w:val="single"/>
          </w:rPr>
          <w:t>A&amp;W Food Services of Canada Inc.</w:t>
        </w:r>
      </w:hyperlink>
      <w:r w:rsidRPr="00D92655">
        <w:rPr>
          <w:rFonts w:ascii="Arial" w:eastAsia="Times New Roman" w:hAnsi="Arial" w:cs="Arial"/>
          <w:noProof/>
          <w:color w:val="000000"/>
          <w:sz w:val="21"/>
        </w:rPr>
        <w:t> </w:t>
      </w:r>
      <w:r w:rsidRPr="00D92655">
        <w:rPr>
          <w:rFonts w:ascii="Arial" w:eastAsia="Times New Roman" w:hAnsi="Arial" w:cs="Arial"/>
          <w:noProof/>
          <w:color w:val="000000"/>
          <w:sz w:val="21"/>
          <w:szCs w:val="21"/>
        </w:rPr>
        <w:t>($1 million). </w:t>
      </w:r>
    </w:p>
    <w:p w:rsidR="00D92655" w:rsidRPr="00D92655" w:rsidRDefault="00D92655" w:rsidP="00D92655">
      <w:pPr>
        <w:shd w:val="clear" w:color="auto" w:fill="FAFAFA"/>
        <w:spacing w:after="300" w:line="345" w:lineRule="atLeast"/>
        <w:textAlignment w:val="baseline"/>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“Research Manitoba welcomes the opportunity to support the search for new treatment options and advance research in the area of multiple sclerosis” says Dr. Brian Postl, Chair, Research Manitoba. “We are proud of the dedicated researchers and participants and are pleased to support this partnership within the MS research community.”</w:t>
      </w:r>
    </w:p>
    <w:p w:rsidR="00D92655" w:rsidRPr="00D92655" w:rsidRDefault="00D92655" w:rsidP="00D92655">
      <w:pPr>
        <w:shd w:val="clear" w:color="auto" w:fill="FAFAFA"/>
        <w:spacing w:after="300" w:line="345" w:lineRule="atLeast"/>
        <w:textAlignment w:val="baseline"/>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lastRenderedPageBreak/>
        <w:t>“Over the past five years our guests and our franchised operators have been incredibly supportive of our annual Cruisin' to End MS fundraising campaign,” says Paul Hollands, president and CEO, A&amp;W Food Services of Canada Inc. “We are delighted to see resources raised through this campaign supporting world leading research which offers real hope to people living with MS."</w:t>
      </w:r>
    </w:p>
    <w:p w:rsidR="00D92655" w:rsidRPr="00D92655" w:rsidRDefault="00D92655" w:rsidP="00D92655">
      <w:pPr>
        <w:shd w:val="clear" w:color="auto" w:fill="FAFAFA"/>
        <w:spacing w:after="300" w:line="345" w:lineRule="atLeast"/>
        <w:textAlignment w:val="baseline"/>
        <w:rPr>
          <w:rFonts w:ascii="Arial" w:eastAsia="Times New Roman" w:hAnsi="Arial" w:cs="Arial"/>
          <w:noProof/>
          <w:color w:val="000000"/>
          <w:sz w:val="21"/>
          <w:szCs w:val="21"/>
        </w:rPr>
      </w:pPr>
    </w:p>
    <w:p w:rsidR="00D92655" w:rsidRPr="00D92655" w:rsidRDefault="00D92655" w:rsidP="00D92655">
      <w:pPr>
        <w:shd w:val="clear" w:color="auto" w:fill="FAFAFA"/>
        <w:spacing w:before="100" w:beforeAutospacing="1" w:after="100" w:afterAutospacing="1" w:line="525" w:lineRule="atLeast"/>
        <w:textAlignment w:val="baseline"/>
        <w:outlineLvl w:val="0"/>
        <w:rPr>
          <w:rFonts w:ascii="Arial" w:eastAsia="Times New Roman" w:hAnsi="Arial" w:cs="Arial"/>
          <w:noProof/>
          <w:color w:val="DD060B"/>
          <w:kern w:val="36"/>
          <w:sz w:val="39"/>
          <w:szCs w:val="39"/>
        </w:rPr>
      </w:pPr>
      <w:r w:rsidRPr="00D92655">
        <w:rPr>
          <w:rFonts w:ascii="Arial" w:eastAsia="Times New Roman" w:hAnsi="Arial" w:cs="Arial"/>
          <w:noProof/>
          <w:color w:val="DD060B"/>
          <w:kern w:val="36"/>
          <w:sz w:val="39"/>
          <w:szCs w:val="39"/>
        </w:rPr>
        <w:t>MS Scientific Research Foundation-funded trial poised to explore promising new mesenchymal stem cell therapy in people with MS</w:t>
      </w:r>
    </w:p>
    <w:p w:rsidR="00D92655" w:rsidRPr="00D92655" w:rsidRDefault="00D92655" w:rsidP="00D92655">
      <w:pPr>
        <w:shd w:val="clear" w:color="auto" w:fill="FAFAFA"/>
        <w:spacing w:line="240" w:lineRule="auto"/>
        <w:textAlignment w:val="baseline"/>
        <w:rPr>
          <w:rFonts w:ascii="Arial" w:eastAsia="Times New Roman" w:hAnsi="Arial" w:cs="Arial"/>
          <w:noProof/>
          <w:color w:val="777777"/>
          <w:sz w:val="24"/>
          <w:szCs w:val="24"/>
        </w:rPr>
      </w:pPr>
      <w:r w:rsidRPr="00D92655">
        <w:rPr>
          <w:rFonts w:ascii="Arial" w:eastAsia="Times New Roman" w:hAnsi="Arial" w:cs="Arial"/>
          <w:noProof/>
          <w:color w:val="777777"/>
          <w:sz w:val="24"/>
          <w:szCs w:val="24"/>
        </w:rPr>
        <w:t>January 28, 2015</w:t>
      </w:r>
    </w:p>
    <w:p w:rsidR="00D92655" w:rsidRPr="00D92655" w:rsidRDefault="00D92655" w:rsidP="00D92655">
      <w:pPr>
        <w:shd w:val="clear" w:color="auto" w:fill="FAFAFA"/>
        <w:spacing w:before="390" w:after="75" w:line="330" w:lineRule="atLeast"/>
        <w:textAlignment w:val="baseline"/>
        <w:outlineLvl w:val="3"/>
        <w:rPr>
          <w:rFonts w:ascii="Arial" w:eastAsia="Times New Roman" w:hAnsi="Arial" w:cs="Arial"/>
          <w:b/>
          <w:bCs/>
          <w:noProof/>
          <w:color w:val="222222"/>
          <w:sz w:val="27"/>
          <w:szCs w:val="27"/>
        </w:rPr>
      </w:pPr>
      <w:r w:rsidRPr="00D92655">
        <w:rPr>
          <w:rFonts w:ascii="Arial" w:eastAsia="Times New Roman" w:hAnsi="Arial" w:cs="Arial"/>
          <w:b/>
          <w:bCs/>
          <w:noProof/>
          <w:color w:val="222222"/>
          <w:sz w:val="27"/>
          <w:szCs w:val="27"/>
        </w:rPr>
        <w:t>Background</w:t>
      </w:r>
    </w:p>
    <w:p w:rsidR="00D92655" w:rsidRPr="00D92655" w:rsidRDefault="00D92655" w:rsidP="00D92655">
      <w:pPr>
        <w:shd w:val="clear" w:color="auto" w:fill="FAFAFA"/>
        <w:spacing w:after="300" w:line="345" w:lineRule="atLeast"/>
        <w:textAlignment w:val="baseline"/>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Mesenchymal stem cells (MSC) have recently garnered the attention of multiple sclerosis (MS) researchers for their remarkable ability to reduce harmful inflammation and promote healing of injured tissue. However, it is not currently known whether MSC can benefit people affected by MS, an autoimmune disease that targets the central nervous system. To date, animal studies in the laboratory and preliminary clinical trials in humans have shown promise that MSC are both safe and potentially effective in reducing inflammation and promoting repair, paving the road for larger, more comprehensive studies to investigate the therapeutic benefits of MSC treatment in people with MS.</w:t>
      </w:r>
    </w:p>
    <w:p w:rsidR="00D92655" w:rsidRPr="00D92655" w:rsidRDefault="00D92655" w:rsidP="00D92655">
      <w:pPr>
        <w:shd w:val="clear" w:color="auto" w:fill="FAFAFA"/>
        <w:spacing w:after="0" w:line="345" w:lineRule="atLeast"/>
        <w:textAlignment w:val="baseline"/>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The discovered potential of MSC in treating MS has culminated in the launch of MESCAMS (</w:t>
      </w:r>
      <w:r w:rsidRPr="00D92655">
        <w:rPr>
          <w:rFonts w:ascii="inherit" w:eastAsia="Times New Roman" w:hAnsi="inherit" w:cs="Arial"/>
          <w:b/>
          <w:bCs/>
          <w:noProof/>
          <w:color w:val="000000"/>
          <w:sz w:val="21"/>
        </w:rPr>
        <w:t>ME</w:t>
      </w:r>
      <w:r w:rsidRPr="00D92655">
        <w:rPr>
          <w:rFonts w:ascii="Arial" w:eastAsia="Times New Roman" w:hAnsi="Arial" w:cs="Arial"/>
          <w:noProof/>
          <w:color w:val="000000"/>
          <w:sz w:val="21"/>
          <w:szCs w:val="21"/>
        </w:rPr>
        <w:t>senchymal</w:t>
      </w:r>
      <w:r w:rsidRPr="00D92655">
        <w:rPr>
          <w:rFonts w:ascii="Arial" w:eastAsia="Times New Roman" w:hAnsi="Arial" w:cs="Arial"/>
          <w:noProof/>
          <w:color w:val="000000"/>
          <w:sz w:val="21"/>
        </w:rPr>
        <w:t> </w:t>
      </w:r>
      <w:r w:rsidRPr="00D92655">
        <w:rPr>
          <w:rFonts w:ascii="inherit" w:eastAsia="Times New Roman" w:hAnsi="inherit" w:cs="Arial"/>
          <w:b/>
          <w:bCs/>
          <w:noProof/>
          <w:color w:val="000000"/>
          <w:sz w:val="21"/>
        </w:rPr>
        <w:t>S</w:t>
      </w:r>
      <w:r w:rsidRPr="00D92655">
        <w:rPr>
          <w:rFonts w:ascii="Arial" w:eastAsia="Times New Roman" w:hAnsi="Arial" w:cs="Arial"/>
          <w:noProof/>
          <w:color w:val="000000"/>
          <w:sz w:val="21"/>
          <w:szCs w:val="21"/>
        </w:rPr>
        <w:t>tem cell therapy for</w:t>
      </w:r>
      <w:r w:rsidRPr="00D92655">
        <w:rPr>
          <w:rFonts w:ascii="Arial" w:eastAsia="Times New Roman" w:hAnsi="Arial" w:cs="Arial"/>
          <w:noProof/>
          <w:color w:val="000000"/>
          <w:sz w:val="21"/>
        </w:rPr>
        <w:t> </w:t>
      </w:r>
      <w:r w:rsidRPr="00D92655">
        <w:rPr>
          <w:rFonts w:ascii="inherit" w:eastAsia="Times New Roman" w:hAnsi="inherit" w:cs="Arial"/>
          <w:b/>
          <w:bCs/>
          <w:noProof/>
          <w:color w:val="000000"/>
          <w:sz w:val="21"/>
        </w:rPr>
        <w:t>CA</w:t>
      </w:r>
      <w:r w:rsidRPr="00D92655">
        <w:rPr>
          <w:rFonts w:ascii="Arial" w:eastAsia="Times New Roman" w:hAnsi="Arial" w:cs="Arial"/>
          <w:noProof/>
          <w:color w:val="000000"/>
          <w:sz w:val="21"/>
          <w:szCs w:val="21"/>
        </w:rPr>
        <w:t>nadian</w:t>
      </w:r>
      <w:r w:rsidRPr="00D92655">
        <w:rPr>
          <w:rFonts w:ascii="Arial" w:eastAsia="Times New Roman" w:hAnsi="Arial" w:cs="Arial"/>
          <w:noProof/>
          <w:color w:val="000000"/>
          <w:sz w:val="21"/>
        </w:rPr>
        <w:t> </w:t>
      </w:r>
      <w:r w:rsidRPr="00D92655">
        <w:rPr>
          <w:rFonts w:ascii="inherit" w:eastAsia="Times New Roman" w:hAnsi="inherit" w:cs="Arial"/>
          <w:b/>
          <w:bCs/>
          <w:noProof/>
          <w:color w:val="000000"/>
          <w:sz w:val="21"/>
        </w:rPr>
        <w:t>MS</w:t>
      </w:r>
      <w:r w:rsidRPr="00D92655">
        <w:rPr>
          <w:rFonts w:ascii="Arial" w:eastAsia="Times New Roman" w:hAnsi="Arial" w:cs="Arial"/>
          <w:noProof/>
          <w:color w:val="000000"/>
          <w:sz w:val="21"/>
        </w:rPr>
        <w:t> </w:t>
      </w:r>
      <w:r w:rsidRPr="00D92655">
        <w:rPr>
          <w:rFonts w:ascii="Arial" w:eastAsia="Times New Roman" w:hAnsi="Arial" w:cs="Arial"/>
          <w:noProof/>
          <w:color w:val="000000"/>
          <w:sz w:val="21"/>
          <w:szCs w:val="21"/>
        </w:rPr>
        <w:t>patients), a phase II clinical trial that is funded in part by the MS Scientific Research Foundation, Research Manitoba, and A&amp;W Food Services of Canada Inc. Spearheaded by </w:t>
      </w:r>
      <w:hyperlink r:id="rId14" w:tgtFrame="_blank" w:history="1">
        <w:r w:rsidRPr="00D92655">
          <w:rPr>
            <w:rFonts w:ascii="inherit" w:eastAsia="Times New Roman" w:hAnsi="inherit" w:cs="Arial"/>
            <w:noProof/>
            <w:color w:val="DD060B"/>
            <w:sz w:val="21"/>
          </w:rPr>
          <w:t>Dr. Mark Freedman</w:t>
        </w:r>
      </w:hyperlink>
      <w:r w:rsidRPr="00D92655">
        <w:rPr>
          <w:rFonts w:ascii="Arial" w:eastAsia="Times New Roman" w:hAnsi="Arial" w:cs="Arial"/>
          <w:noProof/>
          <w:color w:val="000000"/>
          <w:sz w:val="21"/>
        </w:rPr>
        <w:t> </w:t>
      </w:r>
      <w:r w:rsidRPr="00D92655">
        <w:rPr>
          <w:rFonts w:ascii="Arial" w:eastAsia="Times New Roman" w:hAnsi="Arial" w:cs="Arial"/>
          <w:noProof/>
          <w:color w:val="000000"/>
          <w:sz w:val="21"/>
          <w:szCs w:val="21"/>
        </w:rPr>
        <w:t>(Ottawa Hospital Research Institute, University of Ottawa), principal investigator (PI) at the Ottawa site and </w:t>
      </w:r>
      <w:hyperlink r:id="rId15" w:tgtFrame="_blank" w:history="1">
        <w:r w:rsidRPr="00D92655">
          <w:rPr>
            <w:rFonts w:ascii="inherit" w:eastAsia="Times New Roman" w:hAnsi="inherit" w:cs="Arial"/>
            <w:noProof/>
            <w:color w:val="DD060B"/>
            <w:sz w:val="21"/>
          </w:rPr>
          <w:t>Dr. James Marriott</w:t>
        </w:r>
      </w:hyperlink>
      <w:r w:rsidRPr="00D92655">
        <w:rPr>
          <w:rFonts w:ascii="Arial" w:eastAsia="Times New Roman" w:hAnsi="Arial" w:cs="Arial"/>
          <w:noProof/>
          <w:color w:val="000000"/>
          <w:sz w:val="21"/>
        </w:rPr>
        <w:t> </w:t>
      </w:r>
      <w:r w:rsidRPr="00D92655">
        <w:rPr>
          <w:rFonts w:ascii="Arial" w:eastAsia="Times New Roman" w:hAnsi="Arial" w:cs="Arial"/>
          <w:noProof/>
          <w:color w:val="000000"/>
          <w:sz w:val="21"/>
          <w:szCs w:val="21"/>
        </w:rPr>
        <w:t>(University of Manitoba), PI at the Manitoba site, MESCAMS is part of an international mesenchymal stem cell research effort encompassing nine countries.</w:t>
      </w:r>
    </w:p>
    <w:p w:rsidR="00D92655" w:rsidRPr="00D92655" w:rsidRDefault="00D92655" w:rsidP="00D92655">
      <w:pPr>
        <w:shd w:val="clear" w:color="auto" w:fill="FAFAFA"/>
        <w:spacing w:after="300" w:line="345" w:lineRule="atLeast"/>
        <w:textAlignment w:val="baseline"/>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The aim of this study is to determine if treatment with autologous (originating from the same person receiving treatment) MSC in people with MS is safe, can reduce harmful inflammation in the brain, and possibly contribute to repair of the central nervous system.</w:t>
      </w:r>
    </w:p>
    <w:p w:rsidR="00D92655" w:rsidRPr="00D92655" w:rsidRDefault="00D92655" w:rsidP="00D92655">
      <w:pPr>
        <w:shd w:val="clear" w:color="auto" w:fill="FAFAFA"/>
        <w:spacing w:before="390" w:after="75" w:line="330" w:lineRule="atLeast"/>
        <w:textAlignment w:val="baseline"/>
        <w:outlineLvl w:val="3"/>
        <w:rPr>
          <w:rFonts w:ascii="Arial" w:eastAsia="Times New Roman" w:hAnsi="Arial" w:cs="Arial"/>
          <w:b/>
          <w:bCs/>
          <w:noProof/>
          <w:color w:val="222222"/>
          <w:sz w:val="27"/>
          <w:szCs w:val="27"/>
        </w:rPr>
      </w:pPr>
      <w:r w:rsidRPr="00D92655">
        <w:rPr>
          <w:rFonts w:ascii="Arial" w:eastAsia="Times New Roman" w:hAnsi="Arial" w:cs="Arial"/>
          <w:b/>
          <w:bCs/>
          <w:noProof/>
          <w:color w:val="222222"/>
          <w:sz w:val="27"/>
          <w:szCs w:val="27"/>
        </w:rPr>
        <w:t>The Study</w:t>
      </w:r>
    </w:p>
    <w:p w:rsidR="00D92655" w:rsidRPr="00D92655" w:rsidRDefault="00D92655" w:rsidP="00D92655">
      <w:pPr>
        <w:shd w:val="clear" w:color="auto" w:fill="FAFAFA"/>
        <w:spacing w:after="0" w:line="345" w:lineRule="atLeast"/>
        <w:textAlignment w:val="baseline"/>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The MESCAMS study is a </w:t>
      </w:r>
      <w:hyperlink r:id="rId16" w:anchor="r" w:tgtFrame="_blank" w:history="1">
        <w:r w:rsidRPr="00D92655">
          <w:rPr>
            <w:rFonts w:ascii="inherit" w:eastAsia="Times New Roman" w:hAnsi="inherit" w:cs="Arial"/>
            <w:noProof/>
            <w:color w:val="DD060B"/>
            <w:sz w:val="21"/>
          </w:rPr>
          <w:t>randomized</w:t>
        </w:r>
      </w:hyperlink>
      <w:r w:rsidRPr="00D92655">
        <w:rPr>
          <w:rFonts w:ascii="Arial" w:eastAsia="Times New Roman" w:hAnsi="Arial" w:cs="Arial"/>
          <w:noProof/>
          <w:color w:val="000000"/>
          <w:sz w:val="21"/>
          <w:szCs w:val="21"/>
        </w:rPr>
        <w:t>, </w:t>
      </w:r>
      <w:hyperlink r:id="rId17" w:anchor="b" w:tgtFrame="_blank" w:history="1">
        <w:r w:rsidRPr="00D92655">
          <w:rPr>
            <w:rFonts w:ascii="inherit" w:eastAsia="Times New Roman" w:hAnsi="inherit" w:cs="Arial"/>
            <w:noProof/>
            <w:color w:val="DD060B"/>
            <w:sz w:val="21"/>
          </w:rPr>
          <w:t>double-blind</w:t>
        </w:r>
      </w:hyperlink>
      <w:r w:rsidRPr="00D92655">
        <w:rPr>
          <w:rFonts w:ascii="Arial" w:eastAsia="Times New Roman" w:hAnsi="Arial" w:cs="Arial"/>
          <w:noProof/>
          <w:color w:val="000000"/>
          <w:sz w:val="21"/>
          <w:szCs w:val="21"/>
        </w:rPr>
        <w:t xml:space="preserve">, cross-over study involving 40 patients across two sites: The Ottawa Hospital and Health Sciences Centre (HSC) Winnipeg. The trial will include </w:t>
      </w:r>
      <w:r w:rsidRPr="00D92655">
        <w:rPr>
          <w:rFonts w:ascii="Arial" w:eastAsia="Times New Roman" w:hAnsi="Arial" w:cs="Arial"/>
          <w:noProof/>
          <w:color w:val="000000"/>
          <w:sz w:val="21"/>
          <w:szCs w:val="21"/>
        </w:rPr>
        <w:lastRenderedPageBreak/>
        <w:t>participants affected by relapsing-remitting MS in whom existing therapies have not worked optimally, as well as select individuals with secondary and primary progressive forms of MS (see </w:t>
      </w:r>
      <w:hyperlink r:id="rId18" w:tgtFrame="_blank" w:history="1">
        <w:r w:rsidRPr="00D92655">
          <w:rPr>
            <w:rFonts w:ascii="inherit" w:eastAsia="Times New Roman" w:hAnsi="inherit" w:cs="Arial"/>
            <w:noProof/>
            <w:color w:val="DD060B"/>
            <w:sz w:val="21"/>
          </w:rPr>
          <w:t>ClinicalTrails.gov</w:t>
        </w:r>
      </w:hyperlink>
      <w:r w:rsidRPr="00D92655">
        <w:rPr>
          <w:rFonts w:ascii="Arial" w:eastAsia="Times New Roman" w:hAnsi="Arial" w:cs="Arial"/>
          <w:noProof/>
          <w:color w:val="000000"/>
          <w:sz w:val="21"/>
        </w:rPr>
        <w:t> </w:t>
      </w:r>
      <w:r w:rsidRPr="00D92655">
        <w:rPr>
          <w:rFonts w:ascii="Arial" w:eastAsia="Times New Roman" w:hAnsi="Arial" w:cs="Arial"/>
          <w:noProof/>
          <w:color w:val="000000"/>
          <w:sz w:val="21"/>
          <w:szCs w:val="21"/>
        </w:rPr>
        <w:t>for detailed inclusion and exclusion criteria). Participants will be randomly assigned to one of two treatment groups, but all participants will be injected intravenously (IV) with MSC collected from their own bone marrow at some point in the study, depending on their group:</w:t>
      </w:r>
    </w:p>
    <w:p w:rsidR="00D92655" w:rsidRPr="00D92655" w:rsidRDefault="00D92655" w:rsidP="00D92655">
      <w:pPr>
        <w:numPr>
          <w:ilvl w:val="0"/>
          <w:numId w:val="2"/>
        </w:numPr>
        <w:shd w:val="clear" w:color="auto" w:fill="FAFAFA"/>
        <w:spacing w:before="75" w:after="75" w:line="375" w:lineRule="atLeast"/>
        <w:ind w:left="600"/>
        <w:textAlignment w:val="baseline"/>
        <w:rPr>
          <w:rFonts w:ascii="inherit" w:eastAsia="Times New Roman" w:hAnsi="inherit" w:cs="Arial"/>
          <w:noProof/>
          <w:color w:val="000000"/>
          <w:sz w:val="21"/>
          <w:szCs w:val="21"/>
        </w:rPr>
      </w:pPr>
      <w:r w:rsidRPr="00D92655">
        <w:rPr>
          <w:rFonts w:ascii="inherit" w:eastAsia="Times New Roman" w:hAnsi="inherit" w:cs="Arial"/>
          <w:noProof/>
          <w:color w:val="000000"/>
          <w:sz w:val="21"/>
          <w:szCs w:val="21"/>
        </w:rPr>
        <w:t>Early treatment group: participants are given a single infusion of autologous MSC at week 0, then cross over at week 24 to receive a placebo infusion.</w:t>
      </w:r>
    </w:p>
    <w:p w:rsidR="00D92655" w:rsidRPr="00D92655" w:rsidRDefault="00D92655" w:rsidP="00D92655">
      <w:pPr>
        <w:numPr>
          <w:ilvl w:val="0"/>
          <w:numId w:val="2"/>
        </w:numPr>
        <w:shd w:val="clear" w:color="auto" w:fill="FAFAFA"/>
        <w:spacing w:before="75" w:after="75" w:line="375" w:lineRule="atLeast"/>
        <w:ind w:left="600"/>
        <w:textAlignment w:val="baseline"/>
        <w:rPr>
          <w:rFonts w:ascii="inherit" w:eastAsia="Times New Roman" w:hAnsi="inherit" w:cs="Arial"/>
          <w:noProof/>
          <w:color w:val="000000"/>
          <w:sz w:val="21"/>
          <w:szCs w:val="21"/>
        </w:rPr>
      </w:pPr>
      <w:r w:rsidRPr="00D92655">
        <w:rPr>
          <w:rFonts w:ascii="inherit" w:eastAsia="Times New Roman" w:hAnsi="inherit" w:cs="Arial"/>
          <w:noProof/>
          <w:color w:val="000000"/>
          <w:sz w:val="21"/>
          <w:szCs w:val="21"/>
        </w:rPr>
        <w:t>Late treatment group: participants are given a single placebo infusion at week 0, then cross over at week 24 to receive an infusion of autologous MSC.</w:t>
      </w:r>
    </w:p>
    <w:p w:rsidR="00D92655" w:rsidRPr="00D92655" w:rsidRDefault="00D92655" w:rsidP="00D92655">
      <w:pPr>
        <w:shd w:val="clear" w:color="auto" w:fill="FAFAFA"/>
        <w:spacing w:after="0" w:line="345" w:lineRule="atLeast"/>
        <w:textAlignment w:val="baseline"/>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All participants will be followed for 48 weeks. Over the course of the study, the participants will be assessed to determine the safety of autologous MSC by checking for side effects and documenting these adverse health events. In addition, the researchers will examine any potential clinical benefits of MSC therapy, including reduction of inflammatory injury in the brain as measured by </w:t>
      </w:r>
      <w:hyperlink r:id="rId19" w:anchor="m" w:tgtFrame="_blank" w:history="1">
        <w:r w:rsidRPr="00D92655">
          <w:rPr>
            <w:rFonts w:ascii="inherit" w:eastAsia="Times New Roman" w:hAnsi="inherit" w:cs="Arial"/>
            <w:noProof/>
            <w:color w:val="DD060B"/>
            <w:sz w:val="21"/>
          </w:rPr>
          <w:t>magnetic resonance imaging</w:t>
        </w:r>
      </w:hyperlink>
      <w:r w:rsidRPr="00D92655">
        <w:rPr>
          <w:rFonts w:ascii="Arial" w:eastAsia="Times New Roman" w:hAnsi="Arial" w:cs="Arial"/>
          <w:noProof/>
          <w:color w:val="000000"/>
          <w:sz w:val="21"/>
        </w:rPr>
        <w:t> </w:t>
      </w:r>
      <w:r w:rsidRPr="00D92655">
        <w:rPr>
          <w:rFonts w:ascii="Arial" w:eastAsia="Times New Roman" w:hAnsi="Arial" w:cs="Arial"/>
          <w:noProof/>
          <w:color w:val="000000"/>
          <w:sz w:val="21"/>
          <w:szCs w:val="21"/>
        </w:rPr>
        <w:t>(MRI), number of relapses, disability progression, and several potential indicators of repair in the central nervous system.</w:t>
      </w:r>
    </w:p>
    <w:p w:rsidR="00D92655" w:rsidRPr="00D92655" w:rsidRDefault="00D92655" w:rsidP="00D92655">
      <w:pPr>
        <w:shd w:val="clear" w:color="auto" w:fill="FAFAFA"/>
        <w:spacing w:before="390" w:after="75" w:line="330" w:lineRule="atLeast"/>
        <w:textAlignment w:val="baseline"/>
        <w:outlineLvl w:val="3"/>
        <w:rPr>
          <w:rFonts w:ascii="Arial" w:eastAsia="Times New Roman" w:hAnsi="Arial" w:cs="Arial"/>
          <w:b/>
          <w:bCs/>
          <w:noProof/>
          <w:color w:val="222222"/>
          <w:sz w:val="27"/>
          <w:szCs w:val="27"/>
        </w:rPr>
      </w:pPr>
      <w:r w:rsidRPr="00D92655">
        <w:rPr>
          <w:rFonts w:ascii="Arial" w:eastAsia="Times New Roman" w:hAnsi="Arial" w:cs="Arial"/>
          <w:b/>
          <w:bCs/>
          <w:noProof/>
          <w:color w:val="222222"/>
          <w:sz w:val="27"/>
          <w:szCs w:val="27"/>
        </w:rPr>
        <w:t>Comment</w:t>
      </w:r>
    </w:p>
    <w:p w:rsidR="00D92655" w:rsidRPr="00D92655" w:rsidRDefault="00D92655" w:rsidP="00D92655">
      <w:pPr>
        <w:shd w:val="clear" w:color="auto" w:fill="FAFAFA"/>
        <w:spacing w:after="0" w:line="345" w:lineRule="atLeast"/>
        <w:textAlignment w:val="baseline"/>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The MESCAMS study is the first Canadian clinical trial evaluating the safety and efficacy of MSC as a treatment for multiple sclerosis. This marks an important step forward in MS research and treatment, as early experiments with stem cell therapies have shown encouraging results. One major factor which distinguishes this study from the previously conducted Canadian </w:t>
      </w:r>
      <w:hyperlink r:id="rId20" w:tgtFrame="_blank" w:history="1">
        <w:r w:rsidRPr="00D92655">
          <w:rPr>
            <w:rFonts w:ascii="inherit" w:eastAsia="Times New Roman" w:hAnsi="inherit" w:cs="Arial"/>
            <w:noProof/>
            <w:color w:val="DD060B"/>
            <w:sz w:val="21"/>
          </w:rPr>
          <w:t>bone marrow transplantation (BMT) trial</w:t>
        </w:r>
      </w:hyperlink>
      <w:r w:rsidRPr="00D92655">
        <w:rPr>
          <w:rFonts w:ascii="Arial" w:eastAsia="Times New Roman" w:hAnsi="Arial" w:cs="Arial"/>
          <w:noProof/>
          <w:color w:val="000000"/>
          <w:sz w:val="21"/>
        </w:rPr>
        <w:t> </w:t>
      </w:r>
      <w:r w:rsidRPr="00D92655">
        <w:rPr>
          <w:rFonts w:ascii="Arial" w:eastAsia="Times New Roman" w:hAnsi="Arial" w:cs="Arial"/>
          <w:noProof/>
          <w:color w:val="000000"/>
          <w:sz w:val="21"/>
          <w:szCs w:val="21"/>
        </w:rPr>
        <w:t>is that participants are not subjected to intensive chemotherapy, which is required prior to BMT to effectively eliminate the diseased immune system.</w:t>
      </w:r>
    </w:p>
    <w:p w:rsidR="00D92655" w:rsidRPr="00D92655" w:rsidRDefault="00D92655" w:rsidP="00D92655">
      <w:pPr>
        <w:shd w:val="clear" w:color="auto" w:fill="FAFAFA"/>
        <w:spacing w:after="300" w:line="345" w:lineRule="atLeast"/>
        <w:textAlignment w:val="baseline"/>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MSC therapy, on the other hand, works by subduing the harmful immune cells that drive MS, and so the researchers anticipate that the procedure will carry a lower risk to participants, since no chemotherapy is required and the MSC have the potential of controlling inflammation in the absence of other MS medications. As well, the study design uses autologous MSC, in which each participant receives their own stem cells, thus diminishing the risk of the participant’s immune system rejecting the cells.</w:t>
      </w:r>
    </w:p>
    <w:p w:rsidR="00D92655" w:rsidRPr="00D92655" w:rsidRDefault="00D92655" w:rsidP="00D92655">
      <w:pPr>
        <w:shd w:val="clear" w:color="auto" w:fill="FAFAFA"/>
        <w:spacing w:after="300" w:line="345" w:lineRule="atLeast"/>
        <w:textAlignment w:val="baseline"/>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 xml:space="preserve">The results of the MESCAMS trial will be pooled with data emerging from the concurrent international MSC trial, culminating in a rich body of information that could not otherwise be attained by individual research centres alone. The Canadian contribution to the trial is poised to make Canada a leader in researching MSC therapy in MS, largely owing to the seasoned expertise of the lead investigators and other collaborators, as well as substantial investment into state-of-the-art stem cell facilities built in compliance with stringent government regulations. Ultimately, the hope is that the findings from the </w:t>
      </w:r>
      <w:r w:rsidRPr="00D92655">
        <w:rPr>
          <w:rFonts w:ascii="Arial" w:eastAsia="Times New Roman" w:hAnsi="Arial" w:cs="Arial"/>
          <w:noProof/>
          <w:color w:val="000000"/>
          <w:sz w:val="21"/>
          <w:szCs w:val="21"/>
        </w:rPr>
        <w:lastRenderedPageBreak/>
        <w:t>MESCAMS study will build on results seen in pioneering MSC studies and help lead to treatment options for people with MS.</w:t>
      </w:r>
    </w:p>
    <w:p w:rsidR="00D92655" w:rsidRPr="00D92655" w:rsidRDefault="00D92655" w:rsidP="00D92655">
      <w:pPr>
        <w:pBdr>
          <w:bottom w:val="single" w:sz="6" w:space="9" w:color="DADADA"/>
        </w:pBdr>
        <w:shd w:val="clear" w:color="auto" w:fill="FFFFFF"/>
        <w:spacing w:before="450" w:after="0" w:line="294" w:lineRule="atLeast"/>
        <w:outlineLvl w:val="0"/>
        <w:rPr>
          <w:rFonts w:ascii="Arial" w:eastAsia="Times New Roman" w:hAnsi="Arial" w:cs="Arial"/>
          <w:b/>
          <w:bCs/>
          <w:noProof/>
          <w:color w:val="000000"/>
          <w:kern w:val="36"/>
          <w:sz w:val="27"/>
          <w:szCs w:val="27"/>
        </w:rPr>
      </w:pPr>
      <w:r w:rsidRPr="00D92655">
        <w:rPr>
          <w:rFonts w:ascii="Arial" w:eastAsia="Times New Roman" w:hAnsi="Arial" w:cs="Arial"/>
          <w:b/>
          <w:bCs/>
          <w:noProof/>
          <w:color w:val="000000"/>
          <w:kern w:val="36"/>
          <w:sz w:val="27"/>
          <w:szCs w:val="27"/>
        </w:rPr>
        <w:t>Safety and Efficacy of Intravenous Autologous Mesenchymal Stem Cells for MS: a Phase 2 Proof of Concept Study (MESCAMS)</w:t>
      </w:r>
    </w:p>
    <w:p w:rsidR="00D92655" w:rsidRPr="00D92655" w:rsidRDefault="00D92655" w:rsidP="00D92655">
      <w:pPr>
        <w:shd w:val="clear" w:color="auto" w:fill="FFFFFF"/>
        <w:spacing w:after="135" w:line="336" w:lineRule="atLeast"/>
        <w:rPr>
          <w:rFonts w:ascii="Arial" w:eastAsia="Times New Roman" w:hAnsi="Arial" w:cs="Arial"/>
          <w:b/>
          <w:bCs/>
          <w:noProof/>
          <w:color w:val="008000"/>
          <w:sz w:val="21"/>
          <w:szCs w:val="21"/>
        </w:rPr>
      </w:pPr>
      <w:r w:rsidRPr="00D92655">
        <w:rPr>
          <w:rFonts w:ascii="Arial" w:eastAsia="Times New Roman" w:hAnsi="Arial" w:cs="Arial"/>
          <w:b/>
          <w:bCs/>
          <w:noProof/>
          <w:color w:val="008000"/>
          <w:sz w:val="21"/>
          <w:szCs w:val="21"/>
        </w:rPr>
        <w:t>This study is not yet open for participant recruitment.</w:t>
      </w:r>
      <w:r w:rsidRPr="00D92655">
        <w:rPr>
          <w:rFonts w:ascii="Arial" w:eastAsia="Times New Roman" w:hAnsi="Arial" w:cs="Arial"/>
          <w:b/>
          <w:bCs/>
          <w:noProof/>
          <w:color w:val="008000"/>
          <w:sz w:val="21"/>
        </w:rPr>
        <w:t> </w:t>
      </w:r>
      <w:r w:rsidRPr="00D92655">
        <w:rPr>
          <w:rFonts w:ascii="Arial" w:eastAsia="Times New Roman" w:hAnsi="Arial" w:cs="Arial"/>
          <w:b/>
          <w:bCs/>
          <w:noProof/>
          <w:color w:val="000000"/>
          <w:sz w:val="21"/>
          <w:szCs w:val="21"/>
        </w:rPr>
        <w:t>(see</w:t>
      </w:r>
      <w:r w:rsidRPr="00D92655">
        <w:rPr>
          <w:rFonts w:ascii="Arial" w:eastAsia="Times New Roman" w:hAnsi="Arial" w:cs="Arial"/>
          <w:b/>
          <w:bCs/>
          <w:noProof/>
          <w:color w:val="008000"/>
          <w:sz w:val="21"/>
        </w:rPr>
        <w:t> </w:t>
      </w:r>
      <w:hyperlink r:id="rId21" w:anchor="contacts" w:history="1">
        <w:r w:rsidRPr="00D92655">
          <w:rPr>
            <w:rFonts w:ascii="Arial" w:eastAsia="Times New Roman" w:hAnsi="Arial" w:cs="Arial"/>
            <w:b/>
            <w:bCs/>
            <w:noProof/>
            <w:color w:val="1A3D85"/>
            <w:sz w:val="21"/>
          </w:rPr>
          <w:t>Contacts and Locations</w:t>
        </w:r>
      </w:hyperlink>
      <w:r w:rsidRPr="00D92655">
        <w:rPr>
          <w:rFonts w:ascii="Arial" w:eastAsia="Times New Roman" w:hAnsi="Arial" w:cs="Arial"/>
          <w:b/>
          <w:bCs/>
          <w:noProof/>
          <w:color w:val="000000"/>
          <w:sz w:val="21"/>
          <w:szCs w:val="21"/>
        </w:rPr>
        <w:t>)</w:t>
      </w:r>
    </w:p>
    <w:p w:rsidR="00D92655" w:rsidRPr="00D92655" w:rsidRDefault="00D92655" w:rsidP="00D92655">
      <w:pPr>
        <w:shd w:val="clear" w:color="auto" w:fill="FFFFFF"/>
        <w:spacing w:after="135" w:line="336" w:lineRule="atLeast"/>
        <w:rPr>
          <w:rFonts w:ascii="Arial" w:eastAsia="Times New Roman" w:hAnsi="Arial" w:cs="Arial"/>
          <w:i/>
          <w:iCs/>
          <w:noProof/>
          <w:color w:val="000000"/>
          <w:sz w:val="20"/>
          <w:szCs w:val="20"/>
        </w:rPr>
      </w:pPr>
      <w:r w:rsidRPr="00D92655">
        <w:rPr>
          <w:rFonts w:ascii="Arial" w:eastAsia="Times New Roman" w:hAnsi="Arial" w:cs="Arial"/>
          <w:i/>
          <w:iCs/>
          <w:noProof/>
          <w:color w:val="0000CC"/>
          <w:sz w:val="20"/>
          <w:szCs w:val="20"/>
        </w:rPr>
        <w:t>Verified November 2014</w:t>
      </w:r>
      <w:r w:rsidRPr="00D92655">
        <w:rPr>
          <w:rFonts w:ascii="Arial" w:eastAsia="Times New Roman" w:hAnsi="Arial" w:cs="Arial"/>
          <w:i/>
          <w:iCs/>
          <w:noProof/>
          <w:color w:val="000000"/>
          <w:sz w:val="20"/>
        </w:rPr>
        <w:t> </w:t>
      </w:r>
      <w:r w:rsidRPr="00D92655">
        <w:rPr>
          <w:rFonts w:ascii="Arial" w:eastAsia="Times New Roman" w:hAnsi="Arial" w:cs="Arial"/>
          <w:i/>
          <w:iCs/>
          <w:noProof/>
          <w:color w:val="000000"/>
          <w:sz w:val="20"/>
          <w:szCs w:val="20"/>
        </w:rPr>
        <w:t>by Ottawa Hospital Research Institute</w:t>
      </w:r>
    </w:p>
    <w:p w:rsidR="00D92655" w:rsidRPr="00D92655" w:rsidRDefault="00D92655" w:rsidP="00D92655">
      <w:pPr>
        <w:shd w:val="clear" w:color="auto" w:fill="FFFFFF"/>
        <w:spacing w:after="0" w:line="336" w:lineRule="atLeast"/>
        <w:rPr>
          <w:rFonts w:ascii="Arial" w:eastAsia="Times New Roman" w:hAnsi="Arial" w:cs="Arial"/>
          <w:b/>
          <w:bCs/>
          <w:noProof/>
          <w:color w:val="000000"/>
          <w:sz w:val="20"/>
          <w:szCs w:val="20"/>
        </w:rPr>
      </w:pPr>
      <w:r w:rsidRPr="00D92655">
        <w:rPr>
          <w:rFonts w:ascii="Arial" w:eastAsia="Times New Roman" w:hAnsi="Arial" w:cs="Arial"/>
          <w:b/>
          <w:bCs/>
          <w:noProof/>
          <w:color w:val="000000"/>
          <w:sz w:val="20"/>
          <w:szCs w:val="20"/>
        </w:rPr>
        <w:t>Sponsor:</w:t>
      </w:r>
    </w:p>
    <w:p w:rsidR="00D92655" w:rsidRPr="00D92655" w:rsidRDefault="00D92655" w:rsidP="00D92655">
      <w:pPr>
        <w:shd w:val="clear" w:color="auto" w:fill="FFFFFF"/>
        <w:spacing w:after="0" w:line="336" w:lineRule="atLeast"/>
        <w:rPr>
          <w:rFonts w:ascii="Arial" w:eastAsia="Times New Roman" w:hAnsi="Arial" w:cs="Arial"/>
          <w:noProof/>
          <w:color w:val="000000"/>
          <w:sz w:val="24"/>
          <w:szCs w:val="24"/>
        </w:rPr>
      </w:pPr>
      <w:r w:rsidRPr="00D92655">
        <w:rPr>
          <w:rFonts w:ascii="Arial" w:eastAsia="Times New Roman" w:hAnsi="Arial" w:cs="Arial"/>
          <w:noProof/>
          <w:color w:val="000000"/>
          <w:sz w:val="24"/>
          <w:szCs w:val="24"/>
        </w:rPr>
        <w:t>Ottawa Hospital Research Institute</w:t>
      </w:r>
    </w:p>
    <w:p w:rsidR="00D92655" w:rsidRPr="00D92655" w:rsidRDefault="00D92655" w:rsidP="00D92655">
      <w:pPr>
        <w:shd w:val="clear" w:color="auto" w:fill="FFFFFF"/>
        <w:spacing w:after="0" w:line="336" w:lineRule="atLeast"/>
        <w:rPr>
          <w:rFonts w:ascii="Arial" w:eastAsia="Times New Roman" w:hAnsi="Arial" w:cs="Arial"/>
          <w:b/>
          <w:bCs/>
          <w:noProof/>
          <w:color w:val="000000"/>
          <w:sz w:val="20"/>
          <w:szCs w:val="20"/>
        </w:rPr>
      </w:pPr>
      <w:r w:rsidRPr="00D92655">
        <w:rPr>
          <w:rFonts w:ascii="Arial" w:eastAsia="Times New Roman" w:hAnsi="Arial" w:cs="Arial"/>
          <w:b/>
          <w:bCs/>
          <w:noProof/>
          <w:color w:val="000000"/>
          <w:sz w:val="20"/>
          <w:szCs w:val="20"/>
        </w:rPr>
        <w:t>Information provided by (Responsible Party):</w:t>
      </w:r>
    </w:p>
    <w:p w:rsidR="00D92655" w:rsidRPr="00D92655" w:rsidRDefault="00D92655" w:rsidP="00D92655">
      <w:pPr>
        <w:shd w:val="clear" w:color="auto" w:fill="FFFFFF"/>
        <w:spacing w:after="0" w:line="336" w:lineRule="atLeast"/>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Ottawa Hospital Research Institute</w:t>
      </w:r>
    </w:p>
    <w:p w:rsidR="00D92655" w:rsidRPr="00D92655" w:rsidRDefault="00D92655" w:rsidP="00D92655">
      <w:pPr>
        <w:shd w:val="clear" w:color="auto" w:fill="FFFFFF"/>
        <w:spacing w:after="0" w:line="336" w:lineRule="atLeast"/>
        <w:rPr>
          <w:rFonts w:ascii="Arial" w:eastAsia="Times New Roman" w:hAnsi="Arial" w:cs="Arial"/>
          <w:b/>
          <w:bCs/>
          <w:noProof/>
          <w:color w:val="000000"/>
          <w:sz w:val="20"/>
          <w:szCs w:val="20"/>
        </w:rPr>
      </w:pPr>
      <w:r w:rsidRPr="00D92655">
        <w:rPr>
          <w:rFonts w:ascii="Arial" w:eastAsia="Times New Roman" w:hAnsi="Arial" w:cs="Arial"/>
          <w:b/>
          <w:bCs/>
          <w:noProof/>
          <w:color w:val="000000"/>
          <w:sz w:val="20"/>
          <w:szCs w:val="20"/>
        </w:rPr>
        <w:t>ClinicalTrials.gov Identifier:</w:t>
      </w:r>
    </w:p>
    <w:p w:rsidR="00D92655" w:rsidRPr="00D92655" w:rsidRDefault="00D92655" w:rsidP="00D92655">
      <w:pPr>
        <w:shd w:val="clear" w:color="auto" w:fill="FFFFFF"/>
        <w:spacing w:after="135" w:line="336" w:lineRule="atLeast"/>
        <w:rPr>
          <w:rFonts w:ascii="Arial" w:eastAsia="Times New Roman" w:hAnsi="Arial" w:cs="Arial"/>
          <w:noProof/>
          <w:color w:val="000000"/>
          <w:sz w:val="24"/>
          <w:szCs w:val="24"/>
        </w:rPr>
      </w:pPr>
      <w:r w:rsidRPr="00D92655">
        <w:rPr>
          <w:rFonts w:ascii="Arial" w:eastAsia="Times New Roman" w:hAnsi="Arial" w:cs="Arial"/>
          <w:noProof/>
          <w:color w:val="000000"/>
          <w:sz w:val="24"/>
          <w:szCs w:val="24"/>
        </w:rPr>
        <w:t>NCT02239393</w:t>
      </w:r>
    </w:p>
    <w:p w:rsidR="00D92655" w:rsidRPr="00D92655" w:rsidRDefault="00D92655" w:rsidP="00D92655">
      <w:pPr>
        <w:shd w:val="clear" w:color="auto" w:fill="FFFFFF"/>
        <w:spacing w:after="0" w:line="336" w:lineRule="atLeast"/>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First received: September 10, 2014</w:t>
      </w:r>
    </w:p>
    <w:p w:rsidR="00D92655" w:rsidRPr="00D92655" w:rsidRDefault="00D92655" w:rsidP="00D92655">
      <w:pPr>
        <w:shd w:val="clear" w:color="auto" w:fill="FFFFFF"/>
        <w:spacing w:after="0" w:line="336" w:lineRule="atLeast"/>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Last updated: November 28, 2014</w:t>
      </w:r>
    </w:p>
    <w:p w:rsidR="00D92655" w:rsidRPr="00D92655" w:rsidRDefault="00D92655" w:rsidP="00D92655">
      <w:pPr>
        <w:shd w:val="clear" w:color="auto" w:fill="FFFFFF"/>
        <w:spacing w:after="0" w:line="336" w:lineRule="atLeast"/>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Last verified: November 2014</w:t>
      </w:r>
    </w:p>
    <w:p w:rsidR="00D92655" w:rsidRPr="00D92655" w:rsidRDefault="00D92655" w:rsidP="00D92655">
      <w:pPr>
        <w:shd w:val="clear" w:color="auto" w:fill="FFFFFF"/>
        <w:spacing w:after="0" w:line="294" w:lineRule="atLeast"/>
        <w:rPr>
          <w:rFonts w:ascii="Arial" w:eastAsia="Times New Roman" w:hAnsi="Arial" w:cs="Arial"/>
          <w:b/>
          <w:bCs/>
          <w:noProof/>
          <w:color w:val="000000"/>
          <w:sz w:val="21"/>
        </w:rPr>
      </w:pPr>
    </w:p>
    <w:p w:rsidR="00D92655" w:rsidRPr="00D92655" w:rsidRDefault="00D92655" w:rsidP="00D92655">
      <w:pPr>
        <w:shd w:val="clear" w:color="auto" w:fill="FFFFFF"/>
        <w:spacing w:after="0" w:line="294" w:lineRule="atLeast"/>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drawing>
          <wp:inline distT="0" distB="0" distL="0" distR="0">
            <wp:extent cx="152400" cy="142875"/>
            <wp:effectExtent l="19050" t="0" r="0" b="0"/>
            <wp:docPr id="1" name="Picture 1" descr="https://clinicaltrials.gov/ct2/html/images/frame/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inicaltrials.gov/ct2/html/images/frame/triangle.gif"/>
                    <pic:cNvPicPr>
                      <a:picLocks noChangeAspect="1" noChangeArrowheads="1"/>
                    </pic:cNvPicPr>
                  </pic:nvPicPr>
                  <pic:blipFill>
                    <a:blip r:embed="rId22"/>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D92655">
        <w:rPr>
          <w:rFonts w:ascii="Arial" w:eastAsia="Times New Roman" w:hAnsi="Arial" w:cs="Arial"/>
          <w:b/>
          <w:bCs/>
          <w:noProof/>
          <w:color w:val="000000"/>
          <w:sz w:val="27"/>
        </w:rPr>
        <w:t>  Purpose</w:t>
      </w:r>
    </w:p>
    <w:p w:rsidR="00D92655" w:rsidRPr="00D92655" w:rsidRDefault="00D92655" w:rsidP="00D92655">
      <w:pPr>
        <w:shd w:val="clear" w:color="auto" w:fill="FFFFFF"/>
        <w:spacing w:after="120" w:line="336" w:lineRule="atLeast"/>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The mechanism of action of MSC relies on their ability to modulate pathogenic immune responses and provide neuroprotection through the release of anti-apoptotic, anti-oxidant and trophic factors as demonstrated by in-vitro and in-vivo preclinical studies.</w:t>
      </w:r>
    </w:p>
    <w:p w:rsidR="00D92655" w:rsidRPr="00D92655" w:rsidRDefault="00D92655" w:rsidP="00D92655">
      <w:pPr>
        <w:shd w:val="clear" w:color="auto" w:fill="FFFFFF"/>
        <w:spacing w:after="120" w:line="336" w:lineRule="atLeast"/>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Patients will be randomized to receive immediate vs. delayed treatment with either a dose equal to 1-2 millions/kg of body weight of autologous MSC, or equivalent volume of suspension media at baseline. At week 24 treatments will be reversed.</w:t>
      </w:r>
    </w:p>
    <w:p w:rsidR="00D92655" w:rsidRPr="00D92655" w:rsidRDefault="00D92655" w:rsidP="00D92655">
      <w:pPr>
        <w:shd w:val="clear" w:color="auto" w:fill="FFFFFF"/>
        <w:spacing w:after="120" w:line="336" w:lineRule="atLeast"/>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The primary outcome of this study is to evaluate:</w:t>
      </w:r>
    </w:p>
    <w:p w:rsidR="00D92655" w:rsidRPr="00D92655" w:rsidRDefault="00D92655" w:rsidP="00D92655">
      <w:pPr>
        <w:numPr>
          <w:ilvl w:val="0"/>
          <w:numId w:val="4"/>
        </w:numPr>
        <w:shd w:val="clear" w:color="auto" w:fill="FFFFFF"/>
        <w:spacing w:before="84" w:after="60" w:line="336" w:lineRule="atLeast"/>
        <w:ind w:left="0"/>
        <w:rPr>
          <w:rFonts w:ascii="Arial" w:eastAsia="Times New Roman" w:hAnsi="Arial" w:cs="Arial"/>
          <w:noProof/>
          <w:color w:val="8194BC"/>
          <w:sz w:val="21"/>
          <w:szCs w:val="21"/>
        </w:rPr>
      </w:pPr>
      <w:r w:rsidRPr="00D92655">
        <w:rPr>
          <w:rFonts w:ascii="Arial" w:eastAsia="Times New Roman" w:hAnsi="Arial" w:cs="Arial"/>
          <w:noProof/>
          <w:color w:val="000000"/>
          <w:sz w:val="21"/>
        </w:rPr>
        <w:t>Treatment's safety within one year from MSC administration by measuring the number, time-frame and severity of adverse events and</w:t>
      </w:r>
    </w:p>
    <w:p w:rsidR="00D92655" w:rsidRPr="00D92655" w:rsidRDefault="00D92655" w:rsidP="00D92655">
      <w:pPr>
        <w:numPr>
          <w:ilvl w:val="0"/>
          <w:numId w:val="4"/>
        </w:numPr>
        <w:shd w:val="clear" w:color="auto" w:fill="FFFFFF"/>
        <w:spacing w:before="84" w:after="60" w:line="336" w:lineRule="atLeast"/>
        <w:ind w:left="0"/>
        <w:rPr>
          <w:rFonts w:ascii="Arial" w:eastAsia="Times New Roman" w:hAnsi="Arial" w:cs="Arial"/>
          <w:noProof/>
          <w:color w:val="8194BC"/>
          <w:sz w:val="21"/>
          <w:szCs w:val="21"/>
        </w:rPr>
      </w:pPr>
      <w:r w:rsidRPr="00D92655">
        <w:rPr>
          <w:rFonts w:ascii="Arial" w:eastAsia="Times New Roman" w:hAnsi="Arial" w:cs="Arial"/>
          <w:noProof/>
          <w:color w:val="000000"/>
          <w:sz w:val="21"/>
        </w:rPr>
        <w:t>Treatment's activity in terms of reduction in total number of gadolinium-enhancing lesions (GEL) by magnetic resonance imaging (MRI) scans.</w:t>
      </w:r>
    </w:p>
    <w:p w:rsidR="00D92655" w:rsidRPr="00D92655" w:rsidRDefault="00D92655" w:rsidP="00D92655">
      <w:pPr>
        <w:shd w:val="clear" w:color="auto" w:fill="FFFFFF"/>
        <w:spacing w:after="120" w:line="336" w:lineRule="atLeast"/>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Secondary outcomes are to gain preliminary information on the efficacy of the experimental treatment in terms of combined MRI activity and clinical efficacy (incidence of relapses and disability progression).</w:t>
      </w:r>
    </w:p>
    <w:p w:rsidR="00D92655" w:rsidRPr="00D92655" w:rsidRDefault="00D92655" w:rsidP="00D92655">
      <w:pPr>
        <w:shd w:val="clear" w:color="auto" w:fill="FFFFFF"/>
        <w:spacing w:after="0" w:line="336" w:lineRule="atLeast"/>
        <w:rPr>
          <w:rFonts w:ascii="Arial" w:eastAsia="Times New Roman" w:hAnsi="Arial" w:cs="Arial"/>
          <w:noProof/>
          <w:color w:val="000000"/>
          <w:sz w:val="21"/>
          <w:szCs w:val="21"/>
        </w:rPr>
      </w:pPr>
    </w:p>
    <w:tbl>
      <w:tblPr>
        <w:tblW w:w="4000" w:type="pct"/>
        <w:jc w:val="center"/>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tblPr>
      <w:tblGrid>
        <w:gridCol w:w="2233"/>
        <w:gridCol w:w="4287"/>
        <w:gridCol w:w="1221"/>
      </w:tblGrid>
      <w:tr w:rsidR="00D92655" w:rsidRPr="00D92655" w:rsidTr="00D92655">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EDEEFF"/>
            <w:tcMar>
              <w:top w:w="90" w:type="dxa"/>
              <w:left w:w="135" w:type="dxa"/>
              <w:bottom w:w="90" w:type="dxa"/>
              <w:right w:w="135" w:type="dxa"/>
            </w:tcMar>
            <w:vAlign w:val="center"/>
            <w:hideMark/>
          </w:tcPr>
          <w:p w:rsidR="00D92655" w:rsidRPr="00D92655" w:rsidRDefault="000562FF" w:rsidP="00D92655">
            <w:pPr>
              <w:spacing w:after="0" w:line="336" w:lineRule="atLeast"/>
              <w:jc w:val="center"/>
              <w:rPr>
                <w:rFonts w:ascii="Arial" w:eastAsia="Times New Roman" w:hAnsi="Arial" w:cs="Arial"/>
                <w:b/>
                <w:bCs/>
                <w:noProof/>
                <w:sz w:val="24"/>
                <w:szCs w:val="24"/>
              </w:rPr>
            </w:pPr>
            <w:hyperlink r:id="rId23" w:tooltip="Help on Conditions field" w:history="1">
              <w:r w:rsidR="00D92655" w:rsidRPr="00D92655">
                <w:rPr>
                  <w:rFonts w:ascii="Arial" w:eastAsia="Times New Roman" w:hAnsi="Arial" w:cs="Arial"/>
                  <w:b/>
                  <w:bCs/>
                  <w:noProof/>
                  <w:color w:val="1A3D85"/>
                  <w:sz w:val="24"/>
                  <w:szCs w:val="24"/>
                </w:rPr>
                <w:t>Condition</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EDEEFF"/>
            <w:tcMar>
              <w:top w:w="90" w:type="dxa"/>
              <w:left w:w="135" w:type="dxa"/>
              <w:bottom w:w="90" w:type="dxa"/>
              <w:right w:w="135" w:type="dxa"/>
            </w:tcMar>
            <w:vAlign w:val="center"/>
            <w:hideMark/>
          </w:tcPr>
          <w:p w:rsidR="00D92655" w:rsidRPr="00D92655" w:rsidRDefault="000562FF" w:rsidP="00D92655">
            <w:pPr>
              <w:spacing w:after="0" w:line="336" w:lineRule="atLeast"/>
              <w:jc w:val="center"/>
              <w:rPr>
                <w:rFonts w:ascii="Arial" w:eastAsia="Times New Roman" w:hAnsi="Arial" w:cs="Arial"/>
                <w:b/>
                <w:bCs/>
                <w:noProof/>
                <w:sz w:val="24"/>
                <w:szCs w:val="24"/>
              </w:rPr>
            </w:pPr>
            <w:hyperlink r:id="rId24" w:tooltip="Help on Interventions field" w:history="1">
              <w:r w:rsidR="00D92655" w:rsidRPr="00D92655">
                <w:rPr>
                  <w:rFonts w:ascii="Arial" w:eastAsia="Times New Roman" w:hAnsi="Arial" w:cs="Arial"/>
                  <w:b/>
                  <w:bCs/>
                  <w:noProof/>
                  <w:color w:val="1A3D85"/>
                  <w:sz w:val="24"/>
                  <w:szCs w:val="24"/>
                </w:rPr>
                <w:t>Intervention</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EDEEFF"/>
            <w:tcMar>
              <w:top w:w="90" w:type="dxa"/>
              <w:left w:w="135" w:type="dxa"/>
              <w:bottom w:w="90" w:type="dxa"/>
              <w:right w:w="135" w:type="dxa"/>
            </w:tcMar>
            <w:vAlign w:val="center"/>
            <w:hideMark/>
          </w:tcPr>
          <w:p w:rsidR="00D92655" w:rsidRPr="00D92655" w:rsidRDefault="000562FF" w:rsidP="00D92655">
            <w:pPr>
              <w:spacing w:after="0" w:line="336" w:lineRule="atLeast"/>
              <w:jc w:val="center"/>
              <w:rPr>
                <w:rFonts w:ascii="Arial" w:eastAsia="Times New Roman" w:hAnsi="Arial" w:cs="Arial"/>
                <w:b/>
                <w:bCs/>
                <w:noProof/>
                <w:sz w:val="24"/>
                <w:szCs w:val="24"/>
              </w:rPr>
            </w:pPr>
            <w:hyperlink r:id="rId25" w:tooltip="Help on Phase field" w:history="1">
              <w:r w:rsidR="00D92655" w:rsidRPr="00D92655">
                <w:rPr>
                  <w:rFonts w:ascii="Arial" w:eastAsia="Times New Roman" w:hAnsi="Arial" w:cs="Arial"/>
                  <w:b/>
                  <w:bCs/>
                  <w:noProof/>
                  <w:color w:val="1A3D85"/>
                  <w:sz w:val="24"/>
                  <w:szCs w:val="24"/>
                </w:rPr>
                <w:t>Phase</w:t>
              </w:r>
            </w:hyperlink>
          </w:p>
        </w:tc>
      </w:tr>
      <w:tr w:rsidR="00D92655" w:rsidRPr="00D92655" w:rsidTr="00D92655">
        <w:trPr>
          <w:jc w:val="center"/>
        </w:trPr>
        <w:tc>
          <w:tcPr>
            <w:tcW w:w="0" w:type="auto"/>
            <w:tcBorders>
              <w:top w:val="single" w:sz="6" w:space="0" w:color="CCCCCC"/>
              <w:left w:val="single" w:sz="6" w:space="0" w:color="CCCCCC"/>
              <w:bottom w:val="single" w:sz="6" w:space="0" w:color="CCCCCC"/>
              <w:right w:val="single" w:sz="6" w:space="0" w:color="CCCCCC"/>
            </w:tcBorders>
            <w:noWrap/>
            <w:tcMar>
              <w:top w:w="90" w:type="dxa"/>
              <w:left w:w="135" w:type="dxa"/>
              <w:bottom w:w="90" w:type="dxa"/>
              <w:right w:w="135" w:type="dxa"/>
            </w:tcMar>
            <w:hideMark/>
          </w:tcPr>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lastRenderedPageBreak/>
              <w:t>Multiple Sclerosis</w:t>
            </w:r>
          </w:p>
        </w:tc>
        <w:tc>
          <w:tcPr>
            <w:tcW w:w="0" w:type="auto"/>
            <w:tcBorders>
              <w:top w:val="single" w:sz="6" w:space="0" w:color="CCCCCC"/>
              <w:left w:val="single" w:sz="6" w:space="0" w:color="CCCCCC"/>
              <w:bottom w:val="single" w:sz="6" w:space="0" w:color="CCCCCC"/>
              <w:right w:val="single" w:sz="6" w:space="0" w:color="CCCCCC"/>
            </w:tcBorders>
            <w:noWrap/>
            <w:tcMar>
              <w:top w:w="90" w:type="dxa"/>
              <w:left w:w="135" w:type="dxa"/>
              <w:bottom w:w="90" w:type="dxa"/>
              <w:right w:w="135" w:type="dxa"/>
            </w:tcMar>
            <w:hideMark/>
          </w:tcPr>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Biological: Mesenchymal Stem Cells</w:t>
            </w:r>
          </w:p>
        </w:tc>
        <w:tc>
          <w:tcPr>
            <w:tcW w:w="0" w:type="auto"/>
            <w:tcBorders>
              <w:top w:val="single" w:sz="6" w:space="0" w:color="CCCCCC"/>
              <w:left w:val="single" w:sz="6" w:space="0" w:color="CCCCCC"/>
              <w:bottom w:val="single" w:sz="6" w:space="0" w:color="CCCCCC"/>
              <w:right w:val="single" w:sz="6" w:space="0" w:color="CCCCCC"/>
            </w:tcBorders>
            <w:noWrap/>
            <w:tcMar>
              <w:top w:w="90" w:type="dxa"/>
              <w:left w:w="135" w:type="dxa"/>
              <w:bottom w:w="90" w:type="dxa"/>
              <w:right w:w="135" w:type="dxa"/>
            </w:tcMar>
            <w:hideMark/>
          </w:tcPr>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Phase 2</w:t>
            </w:r>
          </w:p>
        </w:tc>
      </w:tr>
    </w:tbl>
    <w:p w:rsidR="00D92655" w:rsidRPr="00D92655" w:rsidRDefault="00D92655" w:rsidP="00D92655">
      <w:pPr>
        <w:shd w:val="clear" w:color="auto" w:fill="FFFFFF"/>
        <w:spacing w:after="0" w:line="336" w:lineRule="atLeast"/>
        <w:rPr>
          <w:rFonts w:ascii="Arial" w:eastAsia="Times New Roman" w:hAnsi="Arial" w:cs="Arial"/>
          <w:noProof/>
          <w:color w:val="000000"/>
          <w:sz w:val="21"/>
          <w:szCs w:val="21"/>
        </w:rPr>
      </w:pPr>
    </w:p>
    <w:tbl>
      <w:tblPr>
        <w:tblW w:w="0" w:type="auto"/>
        <w:tblCellSpacing w:w="0" w:type="dxa"/>
        <w:tblCellMar>
          <w:left w:w="0" w:type="dxa"/>
          <w:right w:w="0" w:type="dxa"/>
        </w:tblCellMar>
        <w:tblLook w:val="04A0"/>
      </w:tblPr>
      <w:tblGrid>
        <w:gridCol w:w="1308"/>
        <w:gridCol w:w="7454"/>
      </w:tblGrid>
      <w:tr w:rsidR="00D92655" w:rsidRPr="00D92655" w:rsidTr="00D92655">
        <w:trPr>
          <w:gridAfter w:val="1"/>
          <w:tblHeader/>
          <w:tblCellSpacing w:w="0" w:type="dxa"/>
        </w:trPr>
        <w:tc>
          <w:tcPr>
            <w:tcW w:w="0" w:type="auto"/>
            <w:vAlign w:val="center"/>
            <w:hideMark/>
          </w:tcPr>
          <w:p w:rsidR="00D92655" w:rsidRPr="00D92655" w:rsidRDefault="00D92655" w:rsidP="00D92655">
            <w:pPr>
              <w:spacing w:after="240" w:line="240" w:lineRule="auto"/>
              <w:rPr>
                <w:rFonts w:ascii="Times New Roman" w:eastAsia="Times New Roman" w:hAnsi="Times New Roman" w:cs="Times New Roman"/>
                <w:noProof/>
                <w:sz w:val="24"/>
                <w:szCs w:val="24"/>
              </w:rPr>
            </w:pPr>
          </w:p>
        </w:tc>
      </w:tr>
      <w:tr w:rsidR="00D92655" w:rsidRPr="00D92655" w:rsidTr="00D92655">
        <w:trPr>
          <w:tblCellSpacing w:w="0" w:type="dxa"/>
        </w:trPr>
        <w:tc>
          <w:tcPr>
            <w:tcW w:w="0" w:type="auto"/>
            <w:noWrap/>
            <w:hideMark/>
          </w:tcPr>
          <w:p w:rsidR="00D92655" w:rsidRPr="00D92655" w:rsidRDefault="00D92655" w:rsidP="00D92655">
            <w:pPr>
              <w:spacing w:after="240" w:line="336" w:lineRule="atLeast"/>
              <w:rPr>
                <w:rFonts w:ascii="Arial" w:eastAsia="Times New Roman" w:hAnsi="Arial" w:cs="Arial"/>
                <w:noProof/>
                <w:sz w:val="21"/>
                <w:szCs w:val="21"/>
              </w:rPr>
            </w:pPr>
            <w:r w:rsidRPr="00D92655">
              <w:rPr>
                <w:rFonts w:ascii="Arial" w:eastAsia="Times New Roman" w:hAnsi="Arial" w:cs="Arial"/>
                <w:noProof/>
                <w:sz w:val="21"/>
                <w:szCs w:val="21"/>
              </w:rPr>
              <w:t>Study Type:</w:t>
            </w:r>
          </w:p>
        </w:tc>
        <w:tc>
          <w:tcPr>
            <w:tcW w:w="0" w:type="auto"/>
            <w:tcMar>
              <w:top w:w="0" w:type="dxa"/>
              <w:left w:w="240" w:type="dxa"/>
              <w:bottom w:w="0" w:type="dxa"/>
              <w:right w:w="0" w:type="dxa"/>
            </w:tcMar>
            <w:hideMark/>
          </w:tcPr>
          <w:p w:rsidR="00D92655" w:rsidRPr="00D92655" w:rsidRDefault="00D92655" w:rsidP="00D92655">
            <w:pPr>
              <w:spacing w:after="240" w:line="336" w:lineRule="atLeast"/>
              <w:rPr>
                <w:rFonts w:ascii="Arial" w:eastAsia="Times New Roman" w:hAnsi="Arial" w:cs="Arial"/>
                <w:noProof/>
                <w:sz w:val="21"/>
                <w:szCs w:val="21"/>
              </w:rPr>
            </w:pPr>
            <w:r w:rsidRPr="00D92655">
              <w:rPr>
                <w:rFonts w:ascii="Arial" w:eastAsia="Times New Roman" w:hAnsi="Arial" w:cs="Arial"/>
                <w:noProof/>
                <w:sz w:val="21"/>
                <w:szCs w:val="21"/>
              </w:rPr>
              <w:t>Interventional</w:t>
            </w:r>
          </w:p>
        </w:tc>
      </w:tr>
      <w:tr w:rsidR="00D92655" w:rsidRPr="00D92655" w:rsidTr="00D92655">
        <w:trPr>
          <w:tblCellSpacing w:w="0" w:type="dxa"/>
        </w:trPr>
        <w:tc>
          <w:tcPr>
            <w:tcW w:w="0" w:type="auto"/>
            <w:noWrap/>
            <w:hideMark/>
          </w:tcPr>
          <w:p w:rsidR="00D92655" w:rsidRPr="00D92655" w:rsidRDefault="00D92655" w:rsidP="00D92655">
            <w:pPr>
              <w:spacing w:after="240" w:line="336" w:lineRule="atLeast"/>
              <w:rPr>
                <w:rFonts w:ascii="Arial" w:eastAsia="Times New Roman" w:hAnsi="Arial" w:cs="Arial"/>
                <w:noProof/>
                <w:sz w:val="21"/>
                <w:szCs w:val="21"/>
              </w:rPr>
            </w:pPr>
            <w:r w:rsidRPr="00D92655">
              <w:rPr>
                <w:rFonts w:ascii="Arial" w:eastAsia="Times New Roman" w:hAnsi="Arial" w:cs="Arial"/>
                <w:noProof/>
                <w:sz w:val="21"/>
                <w:szCs w:val="21"/>
              </w:rPr>
              <w:t>Study Design:</w:t>
            </w:r>
          </w:p>
        </w:tc>
        <w:tc>
          <w:tcPr>
            <w:tcW w:w="0" w:type="auto"/>
            <w:tcMar>
              <w:top w:w="0" w:type="dxa"/>
              <w:left w:w="240" w:type="dxa"/>
              <w:bottom w:w="0" w:type="dxa"/>
              <w:right w:w="0" w:type="dxa"/>
            </w:tcMar>
            <w:hideMark/>
          </w:tcPr>
          <w:p w:rsidR="00D92655" w:rsidRPr="00D92655" w:rsidRDefault="00D92655" w:rsidP="00D92655">
            <w:pPr>
              <w:spacing w:after="240" w:line="336" w:lineRule="atLeast"/>
              <w:rPr>
                <w:rFonts w:ascii="Arial" w:eastAsia="Times New Roman" w:hAnsi="Arial" w:cs="Arial"/>
                <w:noProof/>
                <w:sz w:val="21"/>
                <w:szCs w:val="21"/>
              </w:rPr>
            </w:pPr>
            <w:r w:rsidRPr="00D92655">
              <w:rPr>
                <w:rFonts w:ascii="Arial" w:eastAsia="Times New Roman" w:hAnsi="Arial" w:cs="Arial"/>
                <w:noProof/>
                <w:sz w:val="21"/>
                <w:szCs w:val="21"/>
              </w:rPr>
              <w:t>Allocation: Randomized</w:t>
            </w:r>
            <w:r w:rsidRPr="00D92655">
              <w:rPr>
                <w:rFonts w:ascii="Arial" w:eastAsia="Times New Roman" w:hAnsi="Arial" w:cs="Arial"/>
                <w:noProof/>
                <w:sz w:val="21"/>
                <w:szCs w:val="21"/>
              </w:rPr>
              <w:br/>
              <w:t>Endpoint Classification: Safety/Efficacy Study</w:t>
            </w:r>
            <w:r w:rsidRPr="00D92655">
              <w:rPr>
                <w:rFonts w:ascii="Arial" w:eastAsia="Times New Roman" w:hAnsi="Arial" w:cs="Arial"/>
                <w:noProof/>
                <w:sz w:val="21"/>
                <w:szCs w:val="21"/>
              </w:rPr>
              <w:br/>
              <w:t>Intervention Model: Crossover Assignment</w:t>
            </w:r>
            <w:r w:rsidRPr="00D92655">
              <w:rPr>
                <w:rFonts w:ascii="Arial" w:eastAsia="Times New Roman" w:hAnsi="Arial" w:cs="Arial"/>
                <w:noProof/>
                <w:sz w:val="21"/>
                <w:szCs w:val="21"/>
              </w:rPr>
              <w:br/>
              <w:t>Masking: Double Blind (Subject, Caregiver, Investigator, Outcomes Assessor)</w:t>
            </w:r>
            <w:r w:rsidRPr="00D92655">
              <w:rPr>
                <w:rFonts w:ascii="Arial" w:eastAsia="Times New Roman" w:hAnsi="Arial" w:cs="Arial"/>
                <w:noProof/>
                <w:sz w:val="21"/>
                <w:szCs w:val="21"/>
              </w:rPr>
              <w:br/>
              <w:t>Primary Purpose: Treatment</w:t>
            </w:r>
          </w:p>
        </w:tc>
      </w:tr>
      <w:tr w:rsidR="00D92655" w:rsidRPr="00D92655" w:rsidTr="00D92655">
        <w:trPr>
          <w:tblCellSpacing w:w="0" w:type="dxa"/>
        </w:trPr>
        <w:tc>
          <w:tcPr>
            <w:tcW w:w="0" w:type="auto"/>
            <w:noWrap/>
            <w:tcMar>
              <w:top w:w="240" w:type="dxa"/>
              <w:left w:w="0" w:type="dxa"/>
              <w:bottom w:w="0" w:type="dxa"/>
              <w:right w:w="0" w:type="dxa"/>
            </w:tcMar>
            <w:hideMark/>
          </w:tcPr>
          <w:p w:rsidR="00D92655" w:rsidRPr="00D92655" w:rsidRDefault="00D92655" w:rsidP="00D92655">
            <w:pPr>
              <w:spacing w:after="240" w:line="336" w:lineRule="atLeast"/>
              <w:rPr>
                <w:rFonts w:ascii="Arial" w:eastAsia="Times New Roman" w:hAnsi="Arial" w:cs="Arial"/>
                <w:noProof/>
                <w:sz w:val="21"/>
                <w:szCs w:val="21"/>
              </w:rPr>
            </w:pPr>
            <w:r w:rsidRPr="00D92655">
              <w:rPr>
                <w:rFonts w:ascii="Arial" w:eastAsia="Times New Roman" w:hAnsi="Arial" w:cs="Arial"/>
                <w:noProof/>
                <w:sz w:val="21"/>
                <w:szCs w:val="21"/>
              </w:rPr>
              <w:t>Official Title:</w:t>
            </w:r>
          </w:p>
        </w:tc>
        <w:tc>
          <w:tcPr>
            <w:tcW w:w="0" w:type="auto"/>
            <w:tcMar>
              <w:top w:w="240" w:type="dxa"/>
              <w:left w:w="240" w:type="dxa"/>
              <w:bottom w:w="0" w:type="dxa"/>
              <w:right w:w="0" w:type="dxa"/>
            </w:tcMar>
            <w:hideMark/>
          </w:tcPr>
          <w:p w:rsidR="00D92655" w:rsidRPr="00D92655" w:rsidRDefault="00D92655" w:rsidP="00D92655">
            <w:pPr>
              <w:spacing w:after="240" w:line="336" w:lineRule="atLeast"/>
              <w:rPr>
                <w:rFonts w:ascii="Arial" w:eastAsia="Times New Roman" w:hAnsi="Arial" w:cs="Arial"/>
                <w:noProof/>
                <w:sz w:val="21"/>
                <w:szCs w:val="21"/>
              </w:rPr>
            </w:pPr>
            <w:r w:rsidRPr="00D92655">
              <w:rPr>
                <w:rFonts w:ascii="Arial" w:eastAsia="Times New Roman" w:hAnsi="Arial" w:cs="Arial"/>
                <w:noProof/>
                <w:sz w:val="21"/>
                <w:szCs w:val="21"/>
              </w:rPr>
              <w:t>MEsenchymal Stem Cell Therapy for CAnadian MS Patients</w:t>
            </w:r>
          </w:p>
        </w:tc>
      </w:tr>
    </w:tbl>
    <w:p w:rsidR="00D92655" w:rsidRPr="00D92655" w:rsidRDefault="00D92655" w:rsidP="00D92655">
      <w:pPr>
        <w:shd w:val="clear" w:color="auto" w:fill="FFFFFF"/>
        <w:spacing w:after="0" w:line="336" w:lineRule="atLeast"/>
        <w:rPr>
          <w:rFonts w:ascii="Arial" w:eastAsia="Times New Roman" w:hAnsi="Arial" w:cs="Arial"/>
          <w:noProof/>
          <w:color w:val="000000"/>
          <w:sz w:val="21"/>
          <w:szCs w:val="21"/>
        </w:rPr>
      </w:pPr>
    </w:p>
    <w:p w:rsidR="00D92655" w:rsidRPr="00D92655" w:rsidRDefault="00D92655" w:rsidP="00D92655">
      <w:pPr>
        <w:shd w:val="clear" w:color="auto" w:fill="FFFFFF"/>
        <w:spacing w:after="0" w:line="336" w:lineRule="atLeast"/>
        <w:rPr>
          <w:rFonts w:ascii="Arial" w:eastAsia="Times New Roman" w:hAnsi="Arial" w:cs="Arial"/>
          <w:b/>
          <w:bCs/>
          <w:noProof/>
          <w:color w:val="000000"/>
          <w:sz w:val="24"/>
          <w:szCs w:val="24"/>
        </w:rPr>
      </w:pPr>
      <w:r w:rsidRPr="00D92655">
        <w:rPr>
          <w:rFonts w:ascii="Arial" w:eastAsia="Times New Roman" w:hAnsi="Arial" w:cs="Arial"/>
          <w:b/>
          <w:bCs/>
          <w:noProof/>
          <w:color w:val="000000"/>
          <w:sz w:val="24"/>
          <w:szCs w:val="24"/>
        </w:rPr>
        <w:t>Resource links provided by NLM:</w:t>
      </w:r>
    </w:p>
    <w:p w:rsidR="00D92655" w:rsidRPr="00D92655" w:rsidRDefault="00D92655" w:rsidP="00D92655">
      <w:pPr>
        <w:shd w:val="clear" w:color="auto" w:fill="FFFFFF"/>
        <w:spacing w:after="0" w:line="336" w:lineRule="atLeast"/>
        <w:rPr>
          <w:rFonts w:ascii="Arial" w:eastAsia="Times New Roman" w:hAnsi="Arial" w:cs="Arial"/>
          <w:noProof/>
          <w:color w:val="000000"/>
          <w:sz w:val="21"/>
          <w:szCs w:val="21"/>
        </w:rPr>
      </w:pPr>
    </w:p>
    <w:p w:rsidR="00D92655" w:rsidRPr="00D92655" w:rsidRDefault="000562FF" w:rsidP="00D92655">
      <w:pPr>
        <w:shd w:val="clear" w:color="auto" w:fill="FFFFFF"/>
        <w:spacing w:line="336" w:lineRule="atLeast"/>
        <w:rPr>
          <w:rFonts w:ascii="Arial" w:eastAsia="Times New Roman" w:hAnsi="Arial" w:cs="Arial"/>
          <w:noProof/>
          <w:color w:val="000000"/>
          <w:sz w:val="21"/>
          <w:szCs w:val="21"/>
        </w:rPr>
      </w:pPr>
      <w:hyperlink r:id="rId26" w:tooltip="Genetics Home Reference" w:history="1">
        <w:r w:rsidR="00D92655" w:rsidRPr="00D92655">
          <w:rPr>
            <w:rFonts w:ascii="Arial" w:eastAsia="Times New Roman" w:hAnsi="Arial" w:cs="Arial"/>
            <w:noProof/>
            <w:color w:val="1A3D85"/>
            <w:sz w:val="21"/>
          </w:rPr>
          <w:t>Genetics Home Reference</w:t>
        </w:r>
      </w:hyperlink>
      <w:r w:rsidR="00D92655" w:rsidRPr="00D92655">
        <w:rPr>
          <w:rFonts w:ascii="Arial" w:eastAsia="Times New Roman" w:hAnsi="Arial" w:cs="Arial"/>
          <w:noProof/>
          <w:color w:val="000000"/>
          <w:sz w:val="21"/>
        </w:rPr>
        <w:t> </w:t>
      </w:r>
      <w:r w:rsidR="00D92655" w:rsidRPr="00D92655">
        <w:rPr>
          <w:rFonts w:ascii="Arial" w:eastAsia="Times New Roman" w:hAnsi="Arial" w:cs="Arial"/>
          <w:noProof/>
          <w:color w:val="000000"/>
          <w:sz w:val="21"/>
          <w:szCs w:val="21"/>
        </w:rPr>
        <w:t>related topics:</w:t>
      </w:r>
      <w:r w:rsidR="00D92655" w:rsidRPr="00D92655">
        <w:rPr>
          <w:rFonts w:ascii="Arial" w:eastAsia="Times New Roman" w:hAnsi="Arial" w:cs="Arial"/>
          <w:noProof/>
          <w:color w:val="000000"/>
          <w:sz w:val="21"/>
        </w:rPr>
        <w:t> </w:t>
      </w:r>
      <w:hyperlink r:id="rId27" w:tooltip="multiple sclerosis at Genetics Home Reference" w:history="1">
        <w:r w:rsidR="00D92655" w:rsidRPr="00D92655">
          <w:rPr>
            <w:rFonts w:ascii="Arial" w:eastAsia="Times New Roman" w:hAnsi="Arial" w:cs="Arial"/>
            <w:noProof/>
            <w:color w:val="1A3D85"/>
            <w:sz w:val="21"/>
          </w:rPr>
          <w:t>multiple sclerosis</w:t>
        </w:r>
      </w:hyperlink>
    </w:p>
    <w:p w:rsidR="00D92655" w:rsidRPr="00D92655" w:rsidRDefault="000562FF" w:rsidP="00D92655">
      <w:pPr>
        <w:shd w:val="clear" w:color="auto" w:fill="FFFFFF"/>
        <w:spacing w:line="336" w:lineRule="atLeast"/>
        <w:rPr>
          <w:rFonts w:ascii="Arial" w:eastAsia="Times New Roman" w:hAnsi="Arial" w:cs="Arial"/>
          <w:noProof/>
          <w:color w:val="000000"/>
          <w:sz w:val="21"/>
          <w:szCs w:val="21"/>
        </w:rPr>
      </w:pPr>
      <w:hyperlink r:id="rId28" w:tooltip="MedlinePlus" w:history="1">
        <w:r w:rsidR="00D92655" w:rsidRPr="00D92655">
          <w:rPr>
            <w:rFonts w:ascii="Arial" w:eastAsia="Times New Roman" w:hAnsi="Arial" w:cs="Arial"/>
            <w:noProof/>
            <w:color w:val="1A3D85"/>
            <w:sz w:val="21"/>
          </w:rPr>
          <w:t>MedlinePlus</w:t>
        </w:r>
      </w:hyperlink>
      <w:r w:rsidR="00D92655" w:rsidRPr="00D92655">
        <w:rPr>
          <w:rFonts w:ascii="Arial" w:eastAsia="Times New Roman" w:hAnsi="Arial" w:cs="Arial"/>
          <w:noProof/>
          <w:color w:val="000000"/>
          <w:sz w:val="21"/>
        </w:rPr>
        <w:t> </w:t>
      </w:r>
      <w:r w:rsidR="00D92655" w:rsidRPr="00D92655">
        <w:rPr>
          <w:rFonts w:ascii="Arial" w:eastAsia="Times New Roman" w:hAnsi="Arial" w:cs="Arial"/>
          <w:noProof/>
          <w:color w:val="000000"/>
          <w:sz w:val="21"/>
          <w:szCs w:val="21"/>
        </w:rPr>
        <w:t>related topics:</w:t>
      </w:r>
      <w:r w:rsidR="00D92655" w:rsidRPr="00D92655">
        <w:rPr>
          <w:rFonts w:ascii="Arial" w:eastAsia="Times New Roman" w:hAnsi="Arial" w:cs="Arial"/>
          <w:noProof/>
          <w:color w:val="000000"/>
          <w:sz w:val="21"/>
        </w:rPr>
        <w:t> </w:t>
      </w:r>
      <w:hyperlink r:id="rId29" w:tooltip="Multiple Sclerosis at MedlinePlus" w:history="1">
        <w:r w:rsidR="00D92655" w:rsidRPr="00D92655">
          <w:rPr>
            <w:rFonts w:ascii="Arial" w:eastAsia="Times New Roman" w:hAnsi="Arial" w:cs="Arial"/>
            <w:noProof/>
            <w:color w:val="1A3D85"/>
            <w:sz w:val="21"/>
          </w:rPr>
          <w:t>Multiple Sclerosis</w:t>
        </w:r>
      </w:hyperlink>
    </w:p>
    <w:p w:rsidR="00D92655" w:rsidRPr="00D92655" w:rsidRDefault="000562FF" w:rsidP="00D92655">
      <w:pPr>
        <w:shd w:val="clear" w:color="auto" w:fill="FFFFFF"/>
        <w:spacing w:after="0" w:line="336" w:lineRule="atLeast"/>
        <w:rPr>
          <w:rFonts w:ascii="Arial" w:eastAsia="Times New Roman" w:hAnsi="Arial" w:cs="Arial"/>
          <w:noProof/>
          <w:color w:val="000000"/>
          <w:sz w:val="21"/>
          <w:szCs w:val="21"/>
        </w:rPr>
      </w:pPr>
      <w:hyperlink r:id="rId30" w:tooltip="Show FDA resources page" w:history="1">
        <w:r w:rsidR="00D92655" w:rsidRPr="00D92655">
          <w:rPr>
            <w:rFonts w:ascii="Arial" w:eastAsia="Times New Roman" w:hAnsi="Arial" w:cs="Arial"/>
            <w:noProof/>
            <w:color w:val="1A3D85"/>
            <w:sz w:val="21"/>
          </w:rPr>
          <w:t>U.S. FDA Resources</w:t>
        </w:r>
      </w:hyperlink>
      <w:r w:rsidR="00D92655" w:rsidRPr="00D92655">
        <w:rPr>
          <w:rFonts w:ascii="Arial" w:eastAsia="Times New Roman" w:hAnsi="Arial" w:cs="Arial"/>
          <w:noProof/>
          <w:color w:val="000000"/>
          <w:sz w:val="21"/>
        </w:rPr>
        <w:t> </w:t>
      </w:r>
    </w:p>
    <w:p w:rsidR="00D92655" w:rsidRPr="00D92655" w:rsidRDefault="00D92655" w:rsidP="00D92655">
      <w:pPr>
        <w:shd w:val="clear" w:color="auto" w:fill="FFFFFF"/>
        <w:spacing w:after="0" w:line="336" w:lineRule="atLeast"/>
        <w:rPr>
          <w:rFonts w:ascii="Arial" w:eastAsia="Times New Roman" w:hAnsi="Arial" w:cs="Arial"/>
          <w:noProof/>
          <w:color w:val="000000"/>
          <w:sz w:val="21"/>
          <w:szCs w:val="21"/>
        </w:rPr>
      </w:pPr>
    </w:p>
    <w:p w:rsidR="00D92655" w:rsidRPr="00D92655" w:rsidRDefault="00D92655" w:rsidP="00D92655">
      <w:pPr>
        <w:shd w:val="clear" w:color="auto" w:fill="FFFFFF"/>
        <w:spacing w:after="0" w:line="336" w:lineRule="atLeast"/>
        <w:rPr>
          <w:rFonts w:ascii="Arial" w:eastAsia="Times New Roman" w:hAnsi="Arial" w:cs="Arial"/>
          <w:b/>
          <w:bCs/>
          <w:noProof/>
          <w:color w:val="000000"/>
          <w:sz w:val="24"/>
          <w:szCs w:val="24"/>
        </w:rPr>
      </w:pPr>
      <w:r w:rsidRPr="00D92655">
        <w:rPr>
          <w:rFonts w:ascii="Arial" w:eastAsia="Times New Roman" w:hAnsi="Arial" w:cs="Arial"/>
          <w:b/>
          <w:bCs/>
          <w:noProof/>
          <w:color w:val="000000"/>
          <w:sz w:val="24"/>
          <w:szCs w:val="24"/>
        </w:rPr>
        <w:t>Further study details as provided by Ottawa Hospital Research Institute:</w:t>
      </w:r>
    </w:p>
    <w:p w:rsidR="00D92655" w:rsidRPr="00D92655" w:rsidRDefault="00D92655" w:rsidP="00D92655">
      <w:pPr>
        <w:shd w:val="clear" w:color="auto" w:fill="FFFFFF"/>
        <w:spacing w:after="0" w:line="336" w:lineRule="atLeast"/>
        <w:rPr>
          <w:rFonts w:ascii="Arial" w:eastAsia="Times New Roman" w:hAnsi="Arial" w:cs="Arial"/>
          <w:noProof/>
          <w:color w:val="000000"/>
          <w:sz w:val="21"/>
          <w:szCs w:val="21"/>
        </w:rPr>
      </w:pPr>
    </w:p>
    <w:p w:rsidR="00D92655" w:rsidRPr="00D92655" w:rsidRDefault="00D92655" w:rsidP="00D92655">
      <w:pPr>
        <w:shd w:val="clear" w:color="auto" w:fill="FFFFFF"/>
        <w:spacing w:after="0" w:line="336" w:lineRule="atLeast"/>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Primary Outcome Measures:</w:t>
      </w:r>
    </w:p>
    <w:p w:rsidR="00D92655" w:rsidRPr="00D92655" w:rsidRDefault="00D92655" w:rsidP="00D92655">
      <w:pPr>
        <w:numPr>
          <w:ilvl w:val="0"/>
          <w:numId w:val="5"/>
        </w:numPr>
        <w:shd w:val="clear" w:color="auto" w:fill="FFFFFF"/>
        <w:spacing w:before="84" w:after="60" w:line="336" w:lineRule="atLeast"/>
        <w:ind w:left="0"/>
        <w:rPr>
          <w:rFonts w:ascii="Times New Roman" w:eastAsia="Times New Roman" w:hAnsi="Times New Roman" w:cs="Times New Roman"/>
          <w:noProof/>
          <w:sz w:val="24"/>
          <w:szCs w:val="24"/>
        </w:rPr>
      </w:pPr>
      <w:r w:rsidRPr="00D92655">
        <w:rPr>
          <w:rFonts w:ascii="Arial" w:eastAsia="Times New Roman" w:hAnsi="Arial" w:cs="Arial"/>
          <w:noProof/>
          <w:color w:val="000000"/>
          <w:sz w:val="21"/>
        </w:rPr>
        <w:t>Safety [ Time Frame: 24 weeks from first infusion ] [ Designated as safety issue: Yes ]</w:t>
      </w:r>
    </w:p>
    <w:p w:rsidR="00D92655" w:rsidRPr="00D92655" w:rsidRDefault="00D92655" w:rsidP="00D92655">
      <w:pPr>
        <w:shd w:val="clear" w:color="auto" w:fill="FFFFFF"/>
        <w:spacing w:after="60" w:line="336" w:lineRule="atLeast"/>
        <w:rPr>
          <w:rFonts w:ascii="Times New Roman" w:eastAsia="Times New Roman" w:hAnsi="Times New Roman" w:cs="Times New Roman"/>
          <w:noProof/>
          <w:sz w:val="24"/>
          <w:szCs w:val="24"/>
        </w:rPr>
      </w:pPr>
      <w:r w:rsidRPr="00D92655">
        <w:rPr>
          <w:rFonts w:ascii="Arial" w:eastAsia="Times New Roman" w:hAnsi="Arial" w:cs="Arial"/>
          <w:noProof/>
          <w:color w:val="000000"/>
          <w:sz w:val="21"/>
          <w:szCs w:val="21"/>
        </w:rPr>
        <w:t>Incidence and severity of adverse events in MSC treatment group compared to placebo group</w:t>
      </w:r>
    </w:p>
    <w:p w:rsidR="00D92655" w:rsidRPr="00D92655" w:rsidRDefault="00D92655" w:rsidP="00D92655">
      <w:pPr>
        <w:shd w:val="clear" w:color="auto" w:fill="FFFFFF"/>
        <w:spacing w:before="84" w:after="60" w:line="336" w:lineRule="atLeast"/>
        <w:rPr>
          <w:rFonts w:ascii="Arial" w:eastAsia="Times New Roman" w:hAnsi="Arial" w:cs="Arial"/>
          <w:noProof/>
          <w:color w:val="8194BC"/>
          <w:sz w:val="21"/>
          <w:szCs w:val="21"/>
        </w:rPr>
      </w:pPr>
    </w:p>
    <w:p w:rsidR="00D92655" w:rsidRPr="00D92655" w:rsidRDefault="00D92655" w:rsidP="00D92655">
      <w:pPr>
        <w:numPr>
          <w:ilvl w:val="0"/>
          <w:numId w:val="5"/>
        </w:numPr>
        <w:shd w:val="clear" w:color="auto" w:fill="FFFFFF"/>
        <w:spacing w:before="84" w:after="60" w:line="336" w:lineRule="atLeast"/>
        <w:ind w:left="0"/>
        <w:rPr>
          <w:rFonts w:ascii="Times New Roman" w:eastAsia="Times New Roman" w:hAnsi="Times New Roman" w:cs="Times New Roman"/>
          <w:noProof/>
          <w:color w:val="000000"/>
          <w:sz w:val="24"/>
          <w:szCs w:val="24"/>
        </w:rPr>
      </w:pPr>
      <w:r w:rsidRPr="00D92655">
        <w:rPr>
          <w:rFonts w:ascii="Arial" w:eastAsia="Times New Roman" w:hAnsi="Arial" w:cs="Arial"/>
          <w:noProof/>
          <w:color w:val="000000"/>
          <w:sz w:val="21"/>
        </w:rPr>
        <w:t>Efficacy [ Time Frame: 24 weeks from first infusion ] [ Designated as safety issue: No ]</w:t>
      </w:r>
    </w:p>
    <w:p w:rsidR="00D92655" w:rsidRPr="00D92655" w:rsidRDefault="00D92655" w:rsidP="00D92655">
      <w:pPr>
        <w:shd w:val="clear" w:color="auto" w:fill="FFFFFF"/>
        <w:spacing w:after="60" w:line="336" w:lineRule="atLeast"/>
        <w:rPr>
          <w:rFonts w:ascii="Times New Roman" w:eastAsia="Times New Roman" w:hAnsi="Times New Roman" w:cs="Times New Roman"/>
          <w:noProof/>
          <w:sz w:val="24"/>
          <w:szCs w:val="24"/>
        </w:rPr>
      </w:pPr>
      <w:r w:rsidRPr="00D92655">
        <w:rPr>
          <w:rFonts w:ascii="Arial" w:eastAsia="Times New Roman" w:hAnsi="Arial" w:cs="Arial"/>
          <w:noProof/>
          <w:color w:val="000000"/>
          <w:sz w:val="21"/>
          <w:szCs w:val="21"/>
        </w:rPr>
        <w:t>Total number of gadolinium-enhancing lesions (GEL) on MRI scan</w:t>
      </w:r>
    </w:p>
    <w:p w:rsidR="00D92655" w:rsidRPr="00D92655" w:rsidRDefault="00D92655" w:rsidP="00D92655">
      <w:pPr>
        <w:shd w:val="clear" w:color="auto" w:fill="FFFFFF"/>
        <w:spacing w:before="84" w:after="60" w:line="336" w:lineRule="atLeast"/>
        <w:rPr>
          <w:rFonts w:ascii="Arial" w:eastAsia="Times New Roman" w:hAnsi="Arial" w:cs="Arial"/>
          <w:noProof/>
          <w:color w:val="8194BC"/>
          <w:sz w:val="21"/>
          <w:szCs w:val="21"/>
        </w:rPr>
      </w:pPr>
    </w:p>
    <w:p w:rsidR="00D92655" w:rsidRPr="00D92655" w:rsidRDefault="00D92655" w:rsidP="00D92655">
      <w:pPr>
        <w:shd w:val="clear" w:color="auto" w:fill="FFFFFF"/>
        <w:spacing w:after="0" w:line="336" w:lineRule="atLeast"/>
        <w:rPr>
          <w:rFonts w:ascii="Arial" w:eastAsia="Times New Roman" w:hAnsi="Arial" w:cs="Arial"/>
          <w:noProof/>
          <w:color w:val="000000"/>
          <w:sz w:val="21"/>
          <w:szCs w:val="21"/>
        </w:rPr>
      </w:pPr>
    </w:p>
    <w:p w:rsidR="00D92655" w:rsidRPr="00D92655" w:rsidRDefault="00D92655" w:rsidP="00D92655">
      <w:pPr>
        <w:shd w:val="clear" w:color="auto" w:fill="FFFFFF"/>
        <w:spacing w:after="0" w:line="336" w:lineRule="atLeast"/>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Secondary Outcome Measures:</w:t>
      </w:r>
    </w:p>
    <w:p w:rsidR="00D92655" w:rsidRPr="00D92655" w:rsidRDefault="00D92655" w:rsidP="00D92655">
      <w:pPr>
        <w:numPr>
          <w:ilvl w:val="0"/>
          <w:numId w:val="6"/>
        </w:numPr>
        <w:shd w:val="clear" w:color="auto" w:fill="FFFFFF"/>
        <w:spacing w:before="84" w:after="60" w:line="336" w:lineRule="atLeast"/>
        <w:ind w:left="0"/>
        <w:rPr>
          <w:rFonts w:ascii="Times New Roman" w:eastAsia="Times New Roman" w:hAnsi="Times New Roman" w:cs="Times New Roman"/>
          <w:noProof/>
          <w:sz w:val="24"/>
          <w:szCs w:val="24"/>
        </w:rPr>
      </w:pPr>
      <w:r w:rsidRPr="00D92655">
        <w:rPr>
          <w:rFonts w:ascii="Arial" w:eastAsia="Times New Roman" w:hAnsi="Arial" w:cs="Arial"/>
          <w:noProof/>
          <w:color w:val="000000"/>
          <w:sz w:val="21"/>
        </w:rPr>
        <w:t>Efficacy [ Time Frame: 48 weeks from first infuaion ] [ Designated as safety issue: No ]</w:t>
      </w:r>
    </w:p>
    <w:p w:rsidR="00D92655" w:rsidRPr="00D92655" w:rsidRDefault="00D92655" w:rsidP="00D92655">
      <w:pPr>
        <w:shd w:val="clear" w:color="auto" w:fill="FFFFFF"/>
        <w:spacing w:after="60" w:line="336" w:lineRule="atLeast"/>
        <w:rPr>
          <w:rFonts w:ascii="Times New Roman" w:eastAsia="Times New Roman" w:hAnsi="Times New Roman" w:cs="Times New Roman"/>
          <w:noProof/>
          <w:sz w:val="24"/>
          <w:szCs w:val="24"/>
        </w:rPr>
      </w:pPr>
      <w:r w:rsidRPr="00D92655">
        <w:rPr>
          <w:rFonts w:ascii="Arial" w:eastAsia="Times New Roman" w:hAnsi="Arial" w:cs="Arial"/>
          <w:noProof/>
          <w:color w:val="000000"/>
          <w:sz w:val="21"/>
          <w:szCs w:val="21"/>
        </w:rPr>
        <w:t>Number of gadolinium-enhancing lesions (GEL) counted over week 28, 36, 48 compared with the number of GEL counted over 4, 12, 24 weeks.</w:t>
      </w:r>
    </w:p>
    <w:p w:rsidR="00D92655" w:rsidRPr="00D92655" w:rsidRDefault="00D92655" w:rsidP="00D92655">
      <w:pPr>
        <w:shd w:val="clear" w:color="auto" w:fill="FFFFFF"/>
        <w:spacing w:before="84" w:after="60" w:line="336" w:lineRule="atLeast"/>
        <w:rPr>
          <w:rFonts w:ascii="Arial" w:eastAsia="Times New Roman" w:hAnsi="Arial" w:cs="Arial"/>
          <w:noProof/>
          <w:color w:val="8194BC"/>
          <w:sz w:val="21"/>
          <w:szCs w:val="21"/>
        </w:rPr>
      </w:pPr>
    </w:p>
    <w:p w:rsidR="00D92655" w:rsidRPr="00D92655" w:rsidRDefault="00D92655" w:rsidP="00D92655">
      <w:pPr>
        <w:numPr>
          <w:ilvl w:val="0"/>
          <w:numId w:val="6"/>
        </w:numPr>
        <w:shd w:val="clear" w:color="auto" w:fill="FFFFFF"/>
        <w:spacing w:before="84" w:after="60" w:line="336" w:lineRule="atLeast"/>
        <w:ind w:left="0"/>
        <w:rPr>
          <w:rFonts w:ascii="Times New Roman" w:eastAsia="Times New Roman" w:hAnsi="Times New Roman" w:cs="Times New Roman"/>
          <w:noProof/>
          <w:color w:val="000000"/>
          <w:sz w:val="24"/>
          <w:szCs w:val="24"/>
        </w:rPr>
      </w:pPr>
      <w:r w:rsidRPr="00D92655">
        <w:rPr>
          <w:rFonts w:ascii="Arial" w:eastAsia="Times New Roman" w:hAnsi="Arial" w:cs="Arial"/>
          <w:noProof/>
          <w:color w:val="000000"/>
          <w:sz w:val="21"/>
        </w:rPr>
        <w:lastRenderedPageBreak/>
        <w:t>Efficacy [ Time Frame: 24 weeks from first infusion ] [ Designated as safety issue: No ]</w:t>
      </w:r>
    </w:p>
    <w:p w:rsidR="00D92655" w:rsidRPr="00D92655" w:rsidRDefault="00D92655" w:rsidP="00D92655">
      <w:pPr>
        <w:shd w:val="clear" w:color="auto" w:fill="FFFFFF"/>
        <w:spacing w:after="60" w:line="336" w:lineRule="atLeast"/>
        <w:rPr>
          <w:rFonts w:ascii="Times New Roman" w:eastAsia="Times New Roman" w:hAnsi="Times New Roman" w:cs="Times New Roman"/>
          <w:noProof/>
          <w:sz w:val="24"/>
          <w:szCs w:val="24"/>
        </w:rPr>
      </w:pPr>
      <w:r w:rsidRPr="00D92655">
        <w:rPr>
          <w:rFonts w:ascii="Arial" w:eastAsia="Times New Roman" w:hAnsi="Arial" w:cs="Arial"/>
          <w:noProof/>
          <w:color w:val="000000"/>
          <w:sz w:val="21"/>
          <w:szCs w:val="21"/>
        </w:rPr>
        <w:t>Combined unique magnetic resonance imaging (MRI) activity (number of new or enlarging T2, or enhancing or re-enhancing lesions), volume of gadolinium-enhancing lesions (GEL) and volume of black holes (BH) over 4, 12, 24 weeks compared between treatment groups.</w:t>
      </w:r>
    </w:p>
    <w:p w:rsidR="00D92655" w:rsidRPr="00D92655" w:rsidRDefault="00D92655" w:rsidP="00D92655">
      <w:pPr>
        <w:shd w:val="clear" w:color="auto" w:fill="FFFFFF"/>
        <w:spacing w:before="84" w:after="60" w:line="336" w:lineRule="atLeast"/>
        <w:rPr>
          <w:rFonts w:ascii="Arial" w:eastAsia="Times New Roman" w:hAnsi="Arial" w:cs="Arial"/>
          <w:noProof/>
          <w:color w:val="8194BC"/>
          <w:sz w:val="21"/>
          <w:szCs w:val="21"/>
        </w:rPr>
      </w:pPr>
    </w:p>
    <w:p w:rsidR="00D92655" w:rsidRPr="00D92655" w:rsidRDefault="00D92655" w:rsidP="00D92655">
      <w:pPr>
        <w:numPr>
          <w:ilvl w:val="0"/>
          <w:numId w:val="6"/>
        </w:numPr>
        <w:shd w:val="clear" w:color="auto" w:fill="FFFFFF"/>
        <w:spacing w:before="84" w:after="60" w:line="336" w:lineRule="atLeast"/>
        <w:ind w:left="0"/>
        <w:rPr>
          <w:rFonts w:ascii="Times New Roman" w:eastAsia="Times New Roman" w:hAnsi="Times New Roman" w:cs="Times New Roman"/>
          <w:noProof/>
          <w:color w:val="000000"/>
          <w:sz w:val="24"/>
          <w:szCs w:val="24"/>
        </w:rPr>
      </w:pPr>
      <w:r w:rsidRPr="00D92655">
        <w:rPr>
          <w:rFonts w:ascii="Arial" w:eastAsia="Times New Roman" w:hAnsi="Arial" w:cs="Arial"/>
          <w:noProof/>
          <w:color w:val="000000"/>
          <w:sz w:val="21"/>
        </w:rPr>
        <w:t>Efficacy [ Time Frame: 48 weeks from first infusion ] [ Designated as safety issue: No ]</w:t>
      </w:r>
    </w:p>
    <w:p w:rsidR="00D92655" w:rsidRPr="00D92655" w:rsidRDefault="00D92655" w:rsidP="00D92655">
      <w:pPr>
        <w:shd w:val="clear" w:color="auto" w:fill="FFFFFF"/>
        <w:spacing w:after="60" w:line="336" w:lineRule="atLeast"/>
        <w:rPr>
          <w:rFonts w:ascii="Times New Roman" w:eastAsia="Times New Roman" w:hAnsi="Times New Roman" w:cs="Times New Roman"/>
          <w:noProof/>
          <w:sz w:val="24"/>
          <w:szCs w:val="24"/>
        </w:rPr>
      </w:pPr>
      <w:r w:rsidRPr="00D92655">
        <w:rPr>
          <w:rFonts w:ascii="Arial" w:eastAsia="Times New Roman" w:hAnsi="Arial" w:cs="Arial"/>
          <w:noProof/>
          <w:color w:val="000000"/>
          <w:sz w:val="21"/>
          <w:szCs w:val="21"/>
        </w:rPr>
        <w:t>Combined unique magnetic resonance imaging (MRI) activity, volume of gadolinium-enhancing lesions (GEL) and volume of black holes (BH) over week 28, 36, 48 compared with the same outcomes over 4, 12 and 24 weeks.</w:t>
      </w:r>
    </w:p>
    <w:p w:rsidR="00D92655" w:rsidRPr="00D92655" w:rsidRDefault="00D92655" w:rsidP="00D92655">
      <w:pPr>
        <w:shd w:val="clear" w:color="auto" w:fill="FFFFFF"/>
        <w:spacing w:before="84" w:after="60" w:line="336" w:lineRule="atLeast"/>
        <w:rPr>
          <w:rFonts w:ascii="Arial" w:eastAsia="Times New Roman" w:hAnsi="Arial" w:cs="Arial"/>
          <w:noProof/>
          <w:color w:val="8194BC"/>
          <w:sz w:val="21"/>
          <w:szCs w:val="21"/>
        </w:rPr>
      </w:pPr>
    </w:p>
    <w:p w:rsidR="00D92655" w:rsidRPr="00D92655" w:rsidRDefault="00D92655" w:rsidP="00D92655">
      <w:pPr>
        <w:numPr>
          <w:ilvl w:val="0"/>
          <w:numId w:val="6"/>
        </w:numPr>
        <w:shd w:val="clear" w:color="auto" w:fill="FFFFFF"/>
        <w:spacing w:before="84" w:after="60" w:line="336" w:lineRule="atLeast"/>
        <w:ind w:left="0"/>
        <w:rPr>
          <w:rFonts w:ascii="Times New Roman" w:eastAsia="Times New Roman" w:hAnsi="Times New Roman" w:cs="Times New Roman"/>
          <w:noProof/>
          <w:color w:val="000000"/>
          <w:sz w:val="24"/>
          <w:szCs w:val="24"/>
        </w:rPr>
      </w:pPr>
      <w:r w:rsidRPr="00D92655">
        <w:rPr>
          <w:rFonts w:ascii="Arial" w:eastAsia="Times New Roman" w:hAnsi="Arial" w:cs="Arial"/>
          <w:noProof/>
          <w:color w:val="000000"/>
          <w:sz w:val="21"/>
        </w:rPr>
        <w:t>Efficacy [ Time Frame: 48 weeks from first infusion ] [ Designated as safety issue: No ]</w:t>
      </w:r>
    </w:p>
    <w:p w:rsidR="00D92655" w:rsidRPr="00D92655" w:rsidRDefault="00D92655" w:rsidP="00D92655">
      <w:pPr>
        <w:shd w:val="clear" w:color="auto" w:fill="FFFFFF"/>
        <w:spacing w:after="60" w:line="336" w:lineRule="atLeast"/>
        <w:rPr>
          <w:rFonts w:ascii="Times New Roman" w:eastAsia="Times New Roman" w:hAnsi="Times New Roman" w:cs="Times New Roman"/>
          <w:noProof/>
          <w:sz w:val="24"/>
          <w:szCs w:val="24"/>
        </w:rPr>
      </w:pPr>
      <w:r w:rsidRPr="00D92655">
        <w:rPr>
          <w:rFonts w:ascii="Arial" w:eastAsia="Times New Roman" w:hAnsi="Arial" w:cs="Arial"/>
          <w:noProof/>
          <w:color w:val="000000"/>
          <w:sz w:val="21"/>
          <w:szCs w:val="21"/>
        </w:rPr>
        <w:t>Number of relapses in MSC treatment group vs. placebo group in the first 24 weeks and after cross-over re-treatment in the two groups.</w:t>
      </w:r>
    </w:p>
    <w:p w:rsidR="00D92655" w:rsidRPr="00D92655" w:rsidRDefault="00D92655" w:rsidP="00D92655">
      <w:pPr>
        <w:shd w:val="clear" w:color="auto" w:fill="FFFFFF"/>
        <w:spacing w:before="84" w:after="60" w:line="336" w:lineRule="atLeast"/>
        <w:rPr>
          <w:rFonts w:ascii="Arial" w:eastAsia="Times New Roman" w:hAnsi="Arial" w:cs="Arial"/>
          <w:noProof/>
          <w:color w:val="8194BC"/>
          <w:sz w:val="21"/>
          <w:szCs w:val="21"/>
        </w:rPr>
      </w:pPr>
    </w:p>
    <w:p w:rsidR="00D92655" w:rsidRPr="00D92655" w:rsidRDefault="00D92655" w:rsidP="00D92655">
      <w:pPr>
        <w:numPr>
          <w:ilvl w:val="0"/>
          <w:numId w:val="6"/>
        </w:numPr>
        <w:shd w:val="clear" w:color="auto" w:fill="FFFFFF"/>
        <w:spacing w:before="84" w:after="60" w:line="336" w:lineRule="atLeast"/>
        <w:ind w:left="0"/>
        <w:rPr>
          <w:rFonts w:ascii="Times New Roman" w:eastAsia="Times New Roman" w:hAnsi="Times New Roman" w:cs="Times New Roman"/>
          <w:noProof/>
          <w:color w:val="000000"/>
          <w:sz w:val="24"/>
          <w:szCs w:val="24"/>
        </w:rPr>
      </w:pPr>
      <w:r w:rsidRPr="00D92655">
        <w:rPr>
          <w:rFonts w:ascii="Arial" w:eastAsia="Times New Roman" w:hAnsi="Arial" w:cs="Arial"/>
          <w:noProof/>
          <w:color w:val="000000"/>
          <w:sz w:val="21"/>
        </w:rPr>
        <w:t>Efficacy [ Time Frame: 48 weeks from first infusion ] [ Designated as safety issue: No ]</w:t>
      </w:r>
    </w:p>
    <w:p w:rsidR="00D92655" w:rsidRPr="00D92655" w:rsidRDefault="00D92655" w:rsidP="00D92655">
      <w:pPr>
        <w:shd w:val="clear" w:color="auto" w:fill="FFFFFF"/>
        <w:spacing w:after="60" w:line="336" w:lineRule="atLeast"/>
        <w:rPr>
          <w:rFonts w:ascii="Times New Roman" w:eastAsia="Times New Roman" w:hAnsi="Times New Roman" w:cs="Times New Roman"/>
          <w:noProof/>
          <w:sz w:val="24"/>
          <w:szCs w:val="24"/>
        </w:rPr>
      </w:pPr>
      <w:r w:rsidRPr="00D92655">
        <w:rPr>
          <w:rFonts w:ascii="Arial" w:eastAsia="Times New Roman" w:hAnsi="Arial" w:cs="Arial"/>
          <w:noProof/>
          <w:color w:val="000000"/>
          <w:sz w:val="21"/>
          <w:szCs w:val="21"/>
        </w:rPr>
        <w:t>Time to sustained progression of disability and proportion of progression-free patients compared between treatment groups during the first 24 weeks and after cross-over.</w:t>
      </w:r>
    </w:p>
    <w:p w:rsidR="00D92655" w:rsidRPr="00D92655" w:rsidRDefault="00D92655" w:rsidP="00D92655">
      <w:pPr>
        <w:shd w:val="clear" w:color="auto" w:fill="FFFFFF"/>
        <w:spacing w:before="84" w:after="60" w:line="336" w:lineRule="atLeast"/>
        <w:rPr>
          <w:rFonts w:ascii="Arial" w:eastAsia="Times New Roman" w:hAnsi="Arial" w:cs="Arial"/>
          <w:noProof/>
          <w:color w:val="8194BC"/>
          <w:sz w:val="21"/>
          <w:szCs w:val="21"/>
        </w:rPr>
      </w:pPr>
    </w:p>
    <w:p w:rsidR="00D92655" w:rsidRPr="00D92655" w:rsidRDefault="00D92655" w:rsidP="00D92655">
      <w:pPr>
        <w:shd w:val="clear" w:color="auto" w:fill="FFFFFF"/>
        <w:spacing w:after="0" w:line="336" w:lineRule="atLeast"/>
        <w:rPr>
          <w:rFonts w:ascii="Arial" w:eastAsia="Times New Roman" w:hAnsi="Arial" w:cs="Arial"/>
          <w:noProof/>
          <w:color w:val="000000"/>
          <w:sz w:val="21"/>
          <w:szCs w:val="21"/>
        </w:rPr>
      </w:pPr>
    </w:p>
    <w:tbl>
      <w:tblPr>
        <w:tblW w:w="0" w:type="auto"/>
        <w:tblCellSpacing w:w="0" w:type="dxa"/>
        <w:tblCellMar>
          <w:left w:w="0" w:type="dxa"/>
          <w:right w:w="0" w:type="dxa"/>
        </w:tblCellMar>
        <w:tblLook w:val="04A0"/>
      </w:tblPr>
      <w:tblGrid>
        <w:gridCol w:w="3397"/>
        <w:gridCol w:w="6009"/>
      </w:tblGrid>
      <w:tr w:rsidR="00D92655" w:rsidRPr="00D92655" w:rsidTr="00D92655">
        <w:trPr>
          <w:gridAfter w:val="1"/>
          <w:tblHeader/>
          <w:tblCellSpacing w:w="0" w:type="dxa"/>
        </w:trPr>
        <w:tc>
          <w:tcPr>
            <w:tcW w:w="0" w:type="auto"/>
            <w:vAlign w:val="center"/>
            <w:hideMark/>
          </w:tcPr>
          <w:p w:rsidR="00D92655" w:rsidRPr="00D92655" w:rsidRDefault="00D92655" w:rsidP="00D92655">
            <w:pPr>
              <w:spacing w:after="360" w:line="240" w:lineRule="auto"/>
              <w:rPr>
                <w:rFonts w:ascii="Times New Roman" w:eastAsia="Times New Roman" w:hAnsi="Times New Roman" w:cs="Times New Roman"/>
                <w:noProof/>
                <w:sz w:val="24"/>
                <w:szCs w:val="24"/>
              </w:rPr>
            </w:pPr>
          </w:p>
        </w:tc>
      </w:tr>
      <w:tr w:rsidR="00D92655" w:rsidRPr="00D92655" w:rsidTr="00D92655">
        <w:trPr>
          <w:tblCellSpacing w:w="0" w:type="dxa"/>
        </w:trPr>
        <w:tc>
          <w:tcPr>
            <w:tcW w:w="0" w:type="auto"/>
            <w:noWrap/>
            <w:hideMark/>
          </w:tcPr>
          <w:p w:rsidR="00D92655" w:rsidRPr="00D92655" w:rsidRDefault="00D92655" w:rsidP="00D92655">
            <w:pPr>
              <w:spacing w:after="360" w:line="336" w:lineRule="atLeast"/>
              <w:rPr>
                <w:rFonts w:ascii="Arial" w:eastAsia="Times New Roman" w:hAnsi="Arial" w:cs="Arial"/>
                <w:noProof/>
                <w:sz w:val="21"/>
                <w:szCs w:val="21"/>
              </w:rPr>
            </w:pPr>
            <w:r w:rsidRPr="00D92655">
              <w:rPr>
                <w:rFonts w:ascii="Arial" w:eastAsia="Times New Roman" w:hAnsi="Arial" w:cs="Arial"/>
                <w:noProof/>
                <w:sz w:val="21"/>
                <w:szCs w:val="21"/>
              </w:rPr>
              <w:t>Estimated Enrollment:</w:t>
            </w:r>
          </w:p>
        </w:tc>
        <w:tc>
          <w:tcPr>
            <w:tcW w:w="0" w:type="auto"/>
            <w:tcMar>
              <w:top w:w="0" w:type="dxa"/>
              <w:left w:w="240" w:type="dxa"/>
              <w:bottom w:w="0" w:type="dxa"/>
              <w:right w:w="0" w:type="dxa"/>
            </w:tcMar>
            <w:hideMark/>
          </w:tcPr>
          <w:p w:rsidR="00D92655" w:rsidRPr="00D92655" w:rsidRDefault="00D92655" w:rsidP="00D92655">
            <w:pPr>
              <w:spacing w:after="360" w:line="336" w:lineRule="atLeast"/>
              <w:rPr>
                <w:rFonts w:ascii="Arial" w:eastAsia="Times New Roman" w:hAnsi="Arial" w:cs="Arial"/>
                <w:noProof/>
                <w:sz w:val="21"/>
                <w:szCs w:val="21"/>
              </w:rPr>
            </w:pPr>
            <w:r w:rsidRPr="00D92655">
              <w:rPr>
                <w:rFonts w:ascii="Arial" w:eastAsia="Times New Roman" w:hAnsi="Arial" w:cs="Arial"/>
                <w:noProof/>
                <w:sz w:val="21"/>
                <w:szCs w:val="21"/>
              </w:rPr>
              <w:t>40</w:t>
            </w:r>
          </w:p>
        </w:tc>
      </w:tr>
      <w:tr w:rsidR="00D92655" w:rsidRPr="00D92655" w:rsidTr="00D92655">
        <w:trPr>
          <w:tblCellSpacing w:w="0" w:type="dxa"/>
        </w:trPr>
        <w:tc>
          <w:tcPr>
            <w:tcW w:w="0" w:type="auto"/>
            <w:noWrap/>
            <w:hideMark/>
          </w:tcPr>
          <w:p w:rsidR="00D92655" w:rsidRPr="00D92655" w:rsidRDefault="00D92655" w:rsidP="00D92655">
            <w:pPr>
              <w:spacing w:after="360" w:line="336" w:lineRule="atLeast"/>
              <w:rPr>
                <w:rFonts w:ascii="Arial" w:eastAsia="Times New Roman" w:hAnsi="Arial" w:cs="Arial"/>
                <w:noProof/>
                <w:sz w:val="21"/>
                <w:szCs w:val="21"/>
              </w:rPr>
            </w:pPr>
            <w:r w:rsidRPr="00D92655">
              <w:rPr>
                <w:rFonts w:ascii="Arial" w:eastAsia="Times New Roman" w:hAnsi="Arial" w:cs="Arial"/>
                <w:noProof/>
                <w:sz w:val="21"/>
                <w:szCs w:val="21"/>
              </w:rPr>
              <w:t>Study Start Date:</w:t>
            </w:r>
          </w:p>
        </w:tc>
        <w:tc>
          <w:tcPr>
            <w:tcW w:w="0" w:type="auto"/>
            <w:tcMar>
              <w:top w:w="0" w:type="dxa"/>
              <w:left w:w="240" w:type="dxa"/>
              <w:bottom w:w="0" w:type="dxa"/>
              <w:right w:w="0" w:type="dxa"/>
            </w:tcMar>
            <w:hideMark/>
          </w:tcPr>
          <w:p w:rsidR="00D92655" w:rsidRPr="00D92655" w:rsidRDefault="00D92655" w:rsidP="00D92655">
            <w:pPr>
              <w:spacing w:after="360" w:line="336" w:lineRule="atLeast"/>
              <w:rPr>
                <w:rFonts w:ascii="Arial" w:eastAsia="Times New Roman" w:hAnsi="Arial" w:cs="Arial"/>
                <w:noProof/>
                <w:sz w:val="21"/>
                <w:szCs w:val="21"/>
              </w:rPr>
            </w:pPr>
            <w:r w:rsidRPr="00D92655">
              <w:rPr>
                <w:rFonts w:ascii="Arial" w:eastAsia="Times New Roman" w:hAnsi="Arial" w:cs="Arial"/>
                <w:noProof/>
                <w:sz w:val="21"/>
                <w:szCs w:val="21"/>
              </w:rPr>
              <w:t>December 2014</w:t>
            </w:r>
          </w:p>
        </w:tc>
      </w:tr>
      <w:tr w:rsidR="00D92655" w:rsidRPr="00D92655" w:rsidTr="00D92655">
        <w:trPr>
          <w:tblCellSpacing w:w="0" w:type="dxa"/>
        </w:trPr>
        <w:tc>
          <w:tcPr>
            <w:tcW w:w="0" w:type="auto"/>
            <w:noWrap/>
            <w:hideMark/>
          </w:tcPr>
          <w:p w:rsidR="00D92655" w:rsidRPr="00D92655" w:rsidRDefault="00D92655" w:rsidP="00D92655">
            <w:pPr>
              <w:spacing w:after="360" w:line="336" w:lineRule="atLeast"/>
              <w:rPr>
                <w:rFonts w:ascii="Arial" w:eastAsia="Times New Roman" w:hAnsi="Arial" w:cs="Arial"/>
                <w:noProof/>
                <w:sz w:val="21"/>
                <w:szCs w:val="21"/>
              </w:rPr>
            </w:pPr>
            <w:r w:rsidRPr="00D92655">
              <w:rPr>
                <w:rFonts w:ascii="Arial" w:eastAsia="Times New Roman" w:hAnsi="Arial" w:cs="Arial"/>
                <w:noProof/>
                <w:sz w:val="21"/>
                <w:szCs w:val="21"/>
              </w:rPr>
              <w:t>Estimated Study Completion Date:</w:t>
            </w:r>
          </w:p>
        </w:tc>
        <w:tc>
          <w:tcPr>
            <w:tcW w:w="0" w:type="auto"/>
            <w:tcMar>
              <w:top w:w="0" w:type="dxa"/>
              <w:left w:w="240" w:type="dxa"/>
              <w:bottom w:w="0" w:type="dxa"/>
              <w:right w:w="0" w:type="dxa"/>
            </w:tcMar>
            <w:hideMark/>
          </w:tcPr>
          <w:p w:rsidR="00D92655" w:rsidRPr="00D92655" w:rsidRDefault="00D92655" w:rsidP="00D92655">
            <w:pPr>
              <w:spacing w:after="360" w:line="336" w:lineRule="atLeast"/>
              <w:rPr>
                <w:rFonts w:ascii="Arial" w:eastAsia="Times New Roman" w:hAnsi="Arial" w:cs="Arial"/>
                <w:noProof/>
                <w:sz w:val="21"/>
                <w:szCs w:val="21"/>
              </w:rPr>
            </w:pPr>
            <w:r w:rsidRPr="00D92655">
              <w:rPr>
                <w:rFonts w:ascii="Arial" w:eastAsia="Times New Roman" w:hAnsi="Arial" w:cs="Arial"/>
                <w:noProof/>
                <w:sz w:val="21"/>
                <w:szCs w:val="21"/>
              </w:rPr>
              <w:t>September 2017</w:t>
            </w:r>
          </w:p>
        </w:tc>
      </w:tr>
      <w:tr w:rsidR="00D92655" w:rsidRPr="00D92655" w:rsidTr="00D92655">
        <w:trPr>
          <w:tblCellSpacing w:w="0" w:type="dxa"/>
        </w:trPr>
        <w:tc>
          <w:tcPr>
            <w:tcW w:w="0" w:type="auto"/>
            <w:noWrap/>
            <w:hideMark/>
          </w:tcPr>
          <w:p w:rsidR="00D92655" w:rsidRPr="00D92655" w:rsidRDefault="00D92655" w:rsidP="00D92655">
            <w:pPr>
              <w:spacing w:after="360" w:line="336" w:lineRule="atLeast"/>
              <w:rPr>
                <w:rFonts w:ascii="Arial" w:eastAsia="Times New Roman" w:hAnsi="Arial" w:cs="Arial"/>
                <w:noProof/>
                <w:sz w:val="21"/>
                <w:szCs w:val="21"/>
              </w:rPr>
            </w:pPr>
            <w:r w:rsidRPr="00D92655">
              <w:rPr>
                <w:rFonts w:ascii="Arial" w:eastAsia="Times New Roman" w:hAnsi="Arial" w:cs="Arial"/>
                <w:noProof/>
                <w:sz w:val="21"/>
                <w:szCs w:val="21"/>
              </w:rPr>
              <w:t>Estimated Primary Completion Date:</w:t>
            </w:r>
          </w:p>
        </w:tc>
        <w:tc>
          <w:tcPr>
            <w:tcW w:w="0" w:type="auto"/>
            <w:tcMar>
              <w:top w:w="0" w:type="dxa"/>
              <w:left w:w="240" w:type="dxa"/>
              <w:bottom w:w="0" w:type="dxa"/>
              <w:right w:w="0" w:type="dxa"/>
            </w:tcMar>
            <w:hideMark/>
          </w:tcPr>
          <w:p w:rsidR="00D92655" w:rsidRPr="00D92655" w:rsidRDefault="00D92655" w:rsidP="00D92655">
            <w:pPr>
              <w:spacing w:after="360" w:line="336" w:lineRule="atLeast"/>
              <w:rPr>
                <w:rFonts w:ascii="Arial" w:eastAsia="Times New Roman" w:hAnsi="Arial" w:cs="Arial"/>
                <w:noProof/>
                <w:sz w:val="21"/>
                <w:szCs w:val="21"/>
              </w:rPr>
            </w:pPr>
            <w:r w:rsidRPr="00D92655">
              <w:rPr>
                <w:rFonts w:ascii="Arial" w:eastAsia="Times New Roman" w:hAnsi="Arial" w:cs="Arial"/>
                <w:noProof/>
                <w:sz w:val="21"/>
                <w:szCs w:val="21"/>
              </w:rPr>
              <w:t>September 2016 (Final data collection date for primary outcome measure)</w:t>
            </w:r>
          </w:p>
        </w:tc>
      </w:tr>
    </w:tbl>
    <w:p w:rsidR="00D92655" w:rsidRPr="00D92655" w:rsidRDefault="00D92655" w:rsidP="00D92655">
      <w:pPr>
        <w:shd w:val="clear" w:color="auto" w:fill="FFFFFF"/>
        <w:spacing w:after="0" w:line="336" w:lineRule="atLeast"/>
        <w:jc w:val="center"/>
        <w:rPr>
          <w:rFonts w:ascii="Arial" w:eastAsia="Times New Roman" w:hAnsi="Arial" w:cs="Arial"/>
          <w:noProof/>
          <w:vanish/>
          <w:color w:val="000000"/>
          <w:sz w:val="21"/>
          <w:szCs w:val="21"/>
        </w:rPr>
      </w:pPr>
    </w:p>
    <w:tbl>
      <w:tblPr>
        <w:tblW w:w="5000" w:type="pct"/>
        <w:jc w:val="center"/>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tblPr>
      <w:tblGrid>
        <w:gridCol w:w="4852"/>
        <w:gridCol w:w="4824"/>
      </w:tblGrid>
      <w:tr w:rsidR="00D92655" w:rsidRPr="00D92655" w:rsidTr="00D92655">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EDEEFF"/>
            <w:tcMar>
              <w:top w:w="90" w:type="dxa"/>
              <w:left w:w="135" w:type="dxa"/>
              <w:bottom w:w="90" w:type="dxa"/>
              <w:right w:w="135" w:type="dxa"/>
            </w:tcMar>
            <w:vAlign w:val="center"/>
            <w:hideMark/>
          </w:tcPr>
          <w:p w:rsidR="00D92655" w:rsidRPr="00D92655" w:rsidRDefault="000562FF" w:rsidP="00D92655">
            <w:pPr>
              <w:spacing w:after="0" w:line="336" w:lineRule="atLeast"/>
              <w:jc w:val="center"/>
              <w:rPr>
                <w:rFonts w:ascii="Arial" w:eastAsia="Times New Roman" w:hAnsi="Arial" w:cs="Arial"/>
                <w:b/>
                <w:bCs/>
                <w:noProof/>
                <w:sz w:val="24"/>
                <w:szCs w:val="24"/>
              </w:rPr>
            </w:pPr>
            <w:hyperlink r:id="rId31" w:tooltip="Help on Arm Group field" w:history="1">
              <w:r w:rsidR="00D92655" w:rsidRPr="00D92655">
                <w:rPr>
                  <w:rFonts w:ascii="Arial" w:eastAsia="Times New Roman" w:hAnsi="Arial" w:cs="Arial"/>
                  <w:b/>
                  <w:bCs/>
                  <w:noProof/>
                  <w:color w:val="1A3D85"/>
                  <w:sz w:val="24"/>
                  <w:szCs w:val="24"/>
                </w:rPr>
                <w:t>Arms</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EDEEFF"/>
            <w:tcMar>
              <w:top w:w="90" w:type="dxa"/>
              <w:left w:w="135" w:type="dxa"/>
              <w:bottom w:w="90" w:type="dxa"/>
              <w:right w:w="135" w:type="dxa"/>
            </w:tcMar>
            <w:vAlign w:val="center"/>
            <w:hideMark/>
          </w:tcPr>
          <w:p w:rsidR="00D92655" w:rsidRPr="00D92655" w:rsidRDefault="000562FF" w:rsidP="00D92655">
            <w:pPr>
              <w:spacing w:after="0" w:line="336" w:lineRule="atLeast"/>
              <w:jc w:val="center"/>
              <w:rPr>
                <w:rFonts w:ascii="Arial" w:eastAsia="Times New Roman" w:hAnsi="Arial" w:cs="Arial"/>
                <w:b/>
                <w:bCs/>
                <w:noProof/>
                <w:sz w:val="24"/>
                <w:szCs w:val="24"/>
              </w:rPr>
            </w:pPr>
            <w:hyperlink r:id="rId32" w:tooltip="Help on Interventions field" w:history="1">
              <w:r w:rsidR="00D92655" w:rsidRPr="00D92655">
                <w:rPr>
                  <w:rFonts w:ascii="Arial" w:eastAsia="Times New Roman" w:hAnsi="Arial" w:cs="Arial"/>
                  <w:b/>
                  <w:bCs/>
                  <w:noProof/>
                  <w:color w:val="1A3D85"/>
                  <w:sz w:val="24"/>
                  <w:szCs w:val="24"/>
                </w:rPr>
                <w:t>Assigned Interventions</w:t>
              </w:r>
            </w:hyperlink>
          </w:p>
        </w:tc>
      </w:tr>
      <w:tr w:rsidR="00D92655" w:rsidRPr="00D92655" w:rsidTr="00D92655">
        <w:trPr>
          <w:jc w:val="center"/>
        </w:trPr>
        <w:tc>
          <w:tcPr>
            <w:tcW w:w="0" w:type="auto"/>
            <w:tcBorders>
              <w:top w:val="single" w:sz="6" w:space="0" w:color="CCCCCC"/>
              <w:left w:val="single" w:sz="6" w:space="0" w:color="CCCCCC"/>
              <w:bottom w:val="single" w:sz="6" w:space="0" w:color="CCCCCC"/>
              <w:right w:val="single" w:sz="6" w:space="0" w:color="CCCCCC"/>
            </w:tcBorders>
            <w:tcMar>
              <w:top w:w="90" w:type="dxa"/>
              <w:left w:w="135" w:type="dxa"/>
              <w:bottom w:w="90" w:type="dxa"/>
              <w:right w:w="135" w:type="dxa"/>
            </w:tcMar>
            <w:hideMark/>
          </w:tcPr>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Experimental: Autologous Mesenchymal Stem Cells</w:t>
            </w:r>
          </w:p>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 xml:space="preserve">At week 0 a single infusion of either ex-vivo expanded autologous MSC or suspension media will be administered intravenously at a dose of 1 </w:t>
            </w:r>
            <w:r w:rsidRPr="00D92655">
              <w:rPr>
                <w:rFonts w:ascii="Arial" w:eastAsia="Times New Roman" w:hAnsi="Arial" w:cs="Arial"/>
                <w:noProof/>
                <w:sz w:val="21"/>
                <w:szCs w:val="21"/>
              </w:rPr>
              <w:lastRenderedPageBreak/>
              <w:t>to 2 x 1000000 MSC/Kg body weight. At week 24, another infusion will be performed for cross-over re-treatment: at week 24 treatments will be reversed compared to week 0.</w:t>
            </w:r>
          </w:p>
        </w:tc>
        <w:tc>
          <w:tcPr>
            <w:tcW w:w="0" w:type="auto"/>
            <w:tcBorders>
              <w:top w:val="single" w:sz="6" w:space="0" w:color="CCCCCC"/>
              <w:left w:val="single" w:sz="6" w:space="0" w:color="CCCCCC"/>
              <w:bottom w:val="single" w:sz="6" w:space="0" w:color="CCCCCC"/>
              <w:right w:val="single" w:sz="6" w:space="0" w:color="CCCCCC"/>
            </w:tcBorders>
            <w:tcMar>
              <w:top w:w="90" w:type="dxa"/>
              <w:left w:w="135" w:type="dxa"/>
              <w:bottom w:w="90" w:type="dxa"/>
              <w:right w:w="135" w:type="dxa"/>
            </w:tcMar>
            <w:hideMark/>
          </w:tcPr>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lastRenderedPageBreak/>
              <w:t>Biological: Mesenchymal Stem Cells</w:t>
            </w:r>
          </w:p>
          <w:p w:rsidR="00D92655" w:rsidRPr="00D92655" w:rsidRDefault="00D92655" w:rsidP="00D92655">
            <w:pPr>
              <w:spacing w:after="120" w:line="336" w:lineRule="atLeast"/>
              <w:rPr>
                <w:rFonts w:ascii="Arial" w:eastAsia="Times New Roman" w:hAnsi="Arial" w:cs="Arial"/>
                <w:noProof/>
                <w:sz w:val="21"/>
                <w:szCs w:val="21"/>
              </w:rPr>
            </w:pPr>
            <w:r w:rsidRPr="00D92655">
              <w:rPr>
                <w:rFonts w:ascii="Arial" w:eastAsia="Times New Roman" w:hAnsi="Arial" w:cs="Arial"/>
                <w:noProof/>
                <w:sz w:val="21"/>
                <w:szCs w:val="21"/>
              </w:rPr>
              <w:t xml:space="preserve">Mesenchymal Stem Cells in Plasma-Lyte A (Baxter) suspension media, containing 5% Human Albumin and 10% dimethylsulfoxide (DMSO, total volume of 5mL DMSO in final cell </w:t>
            </w:r>
            <w:r w:rsidRPr="00D92655">
              <w:rPr>
                <w:rFonts w:ascii="Arial" w:eastAsia="Times New Roman" w:hAnsi="Arial" w:cs="Arial"/>
                <w:noProof/>
                <w:sz w:val="21"/>
                <w:szCs w:val="21"/>
              </w:rPr>
              <w:lastRenderedPageBreak/>
              <w:t>product) and autologous MSCs at a dose of 1 to 2 x 106 MSC/Kg participant's body weight at randomization.</w:t>
            </w:r>
          </w:p>
          <w:p w:rsidR="00D92655" w:rsidRPr="00D92655" w:rsidRDefault="00D92655" w:rsidP="00D92655">
            <w:pPr>
              <w:spacing w:after="120" w:line="336" w:lineRule="atLeast"/>
              <w:rPr>
                <w:rFonts w:ascii="Arial" w:eastAsia="Times New Roman" w:hAnsi="Arial" w:cs="Arial"/>
                <w:noProof/>
                <w:sz w:val="21"/>
                <w:szCs w:val="21"/>
              </w:rPr>
            </w:pPr>
            <w:r w:rsidRPr="00D92655">
              <w:rPr>
                <w:rFonts w:ascii="Arial" w:eastAsia="Times New Roman" w:hAnsi="Arial" w:cs="Arial"/>
                <w:noProof/>
                <w:sz w:val="21"/>
                <w:szCs w:val="21"/>
              </w:rPr>
              <w:t>Matching placebo Plasma-Lyte A (Baxter) suspension media, containing 5% Human Albumin and 10% DMSO (total volume of 5mL DMSO in final cell product).</w:t>
            </w:r>
          </w:p>
        </w:tc>
      </w:tr>
      <w:tr w:rsidR="00D92655" w:rsidRPr="00D92655" w:rsidTr="00D92655">
        <w:trPr>
          <w:jc w:val="center"/>
        </w:trPr>
        <w:tc>
          <w:tcPr>
            <w:tcW w:w="0" w:type="auto"/>
            <w:tcBorders>
              <w:top w:val="single" w:sz="6" w:space="0" w:color="CCCCCC"/>
              <w:left w:val="single" w:sz="6" w:space="0" w:color="CCCCCC"/>
              <w:bottom w:val="single" w:sz="6" w:space="0" w:color="CCCCCC"/>
              <w:right w:val="single" w:sz="6" w:space="0" w:color="CCCCCC"/>
            </w:tcBorders>
            <w:tcMar>
              <w:top w:w="90" w:type="dxa"/>
              <w:left w:w="135" w:type="dxa"/>
              <w:bottom w:w="90" w:type="dxa"/>
              <w:right w:w="135" w:type="dxa"/>
            </w:tcMar>
            <w:hideMark/>
          </w:tcPr>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lastRenderedPageBreak/>
              <w:t>Placebo Comparator: Suspension media</w:t>
            </w:r>
          </w:p>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At week 0 a single infusion of either ex-vivo expanded autologous MSC or suspension media will be administered intravenously at a dose of 1 to 2 x 1000000 MSC/Kg body weight. At week 24, another infusion will be performed for cross-over re-treatment: at week 24 treatments will be reversed compared to week 0.</w:t>
            </w:r>
          </w:p>
        </w:tc>
        <w:tc>
          <w:tcPr>
            <w:tcW w:w="0" w:type="auto"/>
            <w:tcBorders>
              <w:top w:val="single" w:sz="6" w:space="0" w:color="CCCCCC"/>
              <w:left w:val="single" w:sz="6" w:space="0" w:color="CCCCCC"/>
              <w:bottom w:val="single" w:sz="6" w:space="0" w:color="CCCCCC"/>
              <w:right w:val="single" w:sz="6" w:space="0" w:color="CCCCCC"/>
            </w:tcBorders>
            <w:tcMar>
              <w:top w:w="90" w:type="dxa"/>
              <w:left w:w="135" w:type="dxa"/>
              <w:bottom w:w="90" w:type="dxa"/>
              <w:right w:w="135" w:type="dxa"/>
            </w:tcMar>
            <w:hideMark/>
          </w:tcPr>
          <w:p w:rsidR="00D92655" w:rsidRPr="00D92655" w:rsidRDefault="00D92655" w:rsidP="00D92655">
            <w:pPr>
              <w:spacing w:after="0" w:line="336" w:lineRule="atLeast"/>
              <w:rPr>
                <w:rFonts w:ascii="Arial" w:eastAsia="Times New Roman" w:hAnsi="Arial" w:cs="Arial"/>
                <w:noProof/>
                <w:sz w:val="21"/>
                <w:szCs w:val="21"/>
              </w:rPr>
            </w:pPr>
          </w:p>
        </w:tc>
      </w:tr>
    </w:tbl>
    <w:p w:rsidR="00D92655" w:rsidRPr="00D92655" w:rsidRDefault="00D92655" w:rsidP="00D92655">
      <w:pPr>
        <w:shd w:val="clear" w:color="auto" w:fill="FFFFFF"/>
        <w:spacing w:after="0" w:line="336" w:lineRule="atLeast"/>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br/>
      </w:r>
      <w:bookmarkStart w:id="0" w:name="desc"/>
      <w:bookmarkEnd w:id="0"/>
      <w:r w:rsidRPr="00D92655">
        <w:rPr>
          <w:rFonts w:ascii="Arial" w:eastAsia="Times New Roman" w:hAnsi="Arial" w:cs="Arial"/>
          <w:b/>
          <w:bCs/>
          <w:noProof/>
          <w:color w:val="000000"/>
          <w:sz w:val="24"/>
          <w:szCs w:val="24"/>
        </w:rPr>
        <w:t>Detailed Description:</w:t>
      </w:r>
    </w:p>
    <w:p w:rsidR="00D92655" w:rsidRPr="00D92655" w:rsidRDefault="00D92655" w:rsidP="00D92655">
      <w:pPr>
        <w:shd w:val="clear" w:color="auto" w:fill="FFFFFF"/>
        <w:spacing w:after="120" w:line="336" w:lineRule="atLeast"/>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The mechanism of action of Mesenchymal Stem Cells (MSCs) relies on their ability to modulate pathogenic immune responses and provide neuroprotection through the release of anti-apoptotic, anti-oxidant and trophic factors as demonstrated by in vitro and in vivo preclinical studies.</w:t>
      </w:r>
    </w:p>
    <w:p w:rsidR="00D92655" w:rsidRPr="00D92655" w:rsidRDefault="00D92655" w:rsidP="00D92655">
      <w:pPr>
        <w:shd w:val="clear" w:color="auto" w:fill="FFFFFF"/>
        <w:spacing w:after="120" w:line="336" w:lineRule="atLeast"/>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Patients will be randomized to receive immediate vs. delayed treatment with either a dose equal to 1-2 millions/kg of body weight of autologous MSC, or equivalent volume of suspension media at baseline. At 6 months treatments will be reversed.</w:t>
      </w:r>
    </w:p>
    <w:p w:rsidR="00D92655" w:rsidRPr="00D92655" w:rsidRDefault="00D92655" w:rsidP="00D92655">
      <w:pPr>
        <w:shd w:val="clear" w:color="auto" w:fill="FFFFFF"/>
        <w:spacing w:after="120" w:line="336" w:lineRule="atLeast"/>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The primary outcome of this study is to evaluate</w:t>
      </w:r>
    </w:p>
    <w:p w:rsidR="00D92655" w:rsidRPr="00D92655" w:rsidRDefault="00D92655" w:rsidP="00D92655">
      <w:pPr>
        <w:numPr>
          <w:ilvl w:val="0"/>
          <w:numId w:val="7"/>
        </w:numPr>
        <w:shd w:val="clear" w:color="auto" w:fill="FFFFFF"/>
        <w:spacing w:before="84" w:after="60" w:line="336" w:lineRule="atLeast"/>
        <w:ind w:left="0"/>
        <w:rPr>
          <w:rFonts w:ascii="Arial" w:eastAsia="Times New Roman" w:hAnsi="Arial" w:cs="Arial"/>
          <w:noProof/>
          <w:color w:val="8194BC"/>
          <w:sz w:val="21"/>
          <w:szCs w:val="21"/>
        </w:rPr>
      </w:pPr>
      <w:r w:rsidRPr="00D92655">
        <w:rPr>
          <w:rFonts w:ascii="Arial" w:eastAsia="Times New Roman" w:hAnsi="Arial" w:cs="Arial"/>
          <w:noProof/>
          <w:color w:val="000000"/>
          <w:sz w:val="21"/>
        </w:rPr>
        <w:t>treatment's safety within one year from MSC administration by measuring the the number, time-frame and severity of adverse event and</w:t>
      </w:r>
    </w:p>
    <w:p w:rsidR="00D92655" w:rsidRPr="00D92655" w:rsidRDefault="00D92655" w:rsidP="00D92655">
      <w:pPr>
        <w:numPr>
          <w:ilvl w:val="0"/>
          <w:numId w:val="7"/>
        </w:numPr>
        <w:shd w:val="clear" w:color="auto" w:fill="FFFFFF"/>
        <w:spacing w:before="84" w:after="60" w:line="336" w:lineRule="atLeast"/>
        <w:ind w:left="0"/>
        <w:rPr>
          <w:rFonts w:ascii="Arial" w:eastAsia="Times New Roman" w:hAnsi="Arial" w:cs="Arial"/>
          <w:noProof/>
          <w:color w:val="8194BC"/>
          <w:sz w:val="21"/>
          <w:szCs w:val="21"/>
        </w:rPr>
      </w:pPr>
      <w:r w:rsidRPr="00D92655">
        <w:rPr>
          <w:rFonts w:ascii="Arial" w:eastAsia="Times New Roman" w:hAnsi="Arial" w:cs="Arial"/>
          <w:noProof/>
          <w:color w:val="000000"/>
          <w:sz w:val="21"/>
        </w:rPr>
        <w:t>treatment's activity in terms of reduction in the total number of contrast-gadolinium enhancing lesions (GEL) by magnetic resonance imaging (MRI) scans.</w:t>
      </w:r>
    </w:p>
    <w:p w:rsidR="00D92655" w:rsidRPr="00D92655" w:rsidRDefault="00D92655" w:rsidP="00D92655">
      <w:pPr>
        <w:shd w:val="clear" w:color="auto" w:fill="FFFFFF"/>
        <w:spacing w:after="120" w:line="336" w:lineRule="atLeast"/>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Secondary outcomes are to gain preliminary information on the efficacy of the experimental treatment in terms of combined MRI activity and clinical efficacy (incidence of relapses and disability progression).</w:t>
      </w:r>
    </w:p>
    <w:p w:rsidR="00D92655" w:rsidRPr="00D92655" w:rsidRDefault="00D92655" w:rsidP="00D92655">
      <w:pPr>
        <w:shd w:val="clear" w:color="auto" w:fill="FFFFFF"/>
        <w:spacing w:after="240" w:line="294" w:lineRule="atLeast"/>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drawing>
          <wp:inline distT="0" distB="0" distL="0" distR="0">
            <wp:extent cx="152400" cy="142875"/>
            <wp:effectExtent l="19050" t="0" r="0" b="0"/>
            <wp:docPr id="2" name="Picture 2" descr="https://clinicaltrials.gov/ct2/html/images/frame/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linicaltrials.gov/ct2/html/images/frame/triangle.gif"/>
                    <pic:cNvPicPr>
                      <a:picLocks noChangeAspect="1" noChangeArrowheads="1"/>
                    </pic:cNvPicPr>
                  </pic:nvPicPr>
                  <pic:blipFill>
                    <a:blip r:embed="rId22"/>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D92655">
        <w:rPr>
          <w:rFonts w:ascii="Arial" w:eastAsia="Times New Roman" w:hAnsi="Arial" w:cs="Arial"/>
          <w:b/>
          <w:bCs/>
          <w:noProof/>
          <w:color w:val="000000"/>
          <w:sz w:val="27"/>
        </w:rPr>
        <w:t>  Eligibility</w:t>
      </w:r>
    </w:p>
    <w:tbl>
      <w:tblPr>
        <w:tblW w:w="0" w:type="auto"/>
        <w:tblCellSpacing w:w="0" w:type="dxa"/>
        <w:tblCellMar>
          <w:left w:w="0" w:type="dxa"/>
          <w:right w:w="0" w:type="dxa"/>
        </w:tblCellMar>
        <w:tblLook w:val="04A0"/>
      </w:tblPr>
      <w:tblGrid>
        <w:gridCol w:w="2755"/>
        <w:gridCol w:w="2213"/>
      </w:tblGrid>
      <w:tr w:rsidR="00D92655" w:rsidRPr="00D92655" w:rsidTr="00D92655">
        <w:trPr>
          <w:gridAfter w:val="1"/>
          <w:tblHeader/>
          <w:tblCellSpacing w:w="0" w:type="dxa"/>
        </w:trPr>
        <w:tc>
          <w:tcPr>
            <w:tcW w:w="0" w:type="auto"/>
            <w:vAlign w:val="center"/>
            <w:hideMark/>
          </w:tcPr>
          <w:p w:rsidR="00D92655" w:rsidRPr="00D92655" w:rsidRDefault="00D92655" w:rsidP="00D92655">
            <w:pPr>
              <w:spacing w:after="0" w:line="240" w:lineRule="auto"/>
              <w:rPr>
                <w:rFonts w:ascii="Times New Roman" w:eastAsia="Times New Roman" w:hAnsi="Times New Roman" w:cs="Times New Roman"/>
                <w:noProof/>
                <w:sz w:val="24"/>
                <w:szCs w:val="24"/>
              </w:rPr>
            </w:pPr>
          </w:p>
        </w:tc>
      </w:tr>
      <w:tr w:rsidR="00D92655" w:rsidRPr="00D92655" w:rsidTr="00D92655">
        <w:trPr>
          <w:tblCellSpacing w:w="0" w:type="dxa"/>
        </w:trPr>
        <w:tc>
          <w:tcPr>
            <w:tcW w:w="0" w:type="auto"/>
            <w:noWrap/>
            <w:vAlign w:val="center"/>
            <w:hideMark/>
          </w:tcPr>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Ages Eligible for Study:  </w:t>
            </w:r>
          </w:p>
        </w:tc>
        <w:tc>
          <w:tcPr>
            <w:tcW w:w="0" w:type="auto"/>
            <w:tcMar>
              <w:top w:w="0" w:type="dxa"/>
              <w:left w:w="240" w:type="dxa"/>
              <w:bottom w:w="0" w:type="dxa"/>
              <w:right w:w="0" w:type="dxa"/>
            </w:tcMar>
            <w:vAlign w:val="center"/>
            <w:hideMark/>
          </w:tcPr>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18 Years to 50 Years</w:t>
            </w:r>
          </w:p>
        </w:tc>
      </w:tr>
      <w:tr w:rsidR="00D92655" w:rsidRPr="00D92655" w:rsidTr="00D92655">
        <w:trPr>
          <w:tblCellSpacing w:w="0" w:type="dxa"/>
        </w:trPr>
        <w:tc>
          <w:tcPr>
            <w:tcW w:w="0" w:type="auto"/>
            <w:noWrap/>
            <w:vAlign w:val="center"/>
            <w:hideMark/>
          </w:tcPr>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Genders Eligible for Study:  </w:t>
            </w:r>
          </w:p>
        </w:tc>
        <w:tc>
          <w:tcPr>
            <w:tcW w:w="0" w:type="auto"/>
            <w:tcMar>
              <w:top w:w="0" w:type="dxa"/>
              <w:left w:w="240" w:type="dxa"/>
              <w:bottom w:w="0" w:type="dxa"/>
              <w:right w:w="0" w:type="dxa"/>
            </w:tcMar>
            <w:vAlign w:val="center"/>
            <w:hideMark/>
          </w:tcPr>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Both</w:t>
            </w:r>
          </w:p>
        </w:tc>
      </w:tr>
      <w:tr w:rsidR="00D92655" w:rsidRPr="00D92655" w:rsidTr="00D92655">
        <w:trPr>
          <w:tblCellSpacing w:w="0" w:type="dxa"/>
        </w:trPr>
        <w:tc>
          <w:tcPr>
            <w:tcW w:w="0" w:type="auto"/>
            <w:noWrap/>
            <w:vAlign w:val="center"/>
            <w:hideMark/>
          </w:tcPr>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lastRenderedPageBreak/>
              <w:t>Accepts Healthy Volunteers:  </w:t>
            </w:r>
          </w:p>
        </w:tc>
        <w:tc>
          <w:tcPr>
            <w:tcW w:w="0" w:type="auto"/>
            <w:tcMar>
              <w:top w:w="0" w:type="dxa"/>
              <w:left w:w="240" w:type="dxa"/>
              <w:bottom w:w="0" w:type="dxa"/>
              <w:right w:w="0" w:type="dxa"/>
            </w:tcMar>
            <w:vAlign w:val="center"/>
            <w:hideMark/>
          </w:tcPr>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No</w:t>
            </w:r>
          </w:p>
        </w:tc>
      </w:tr>
    </w:tbl>
    <w:p w:rsidR="00D92655" w:rsidRPr="00D92655" w:rsidRDefault="00D92655" w:rsidP="00D92655">
      <w:pPr>
        <w:shd w:val="clear" w:color="auto" w:fill="FFFFFF"/>
        <w:spacing w:after="0" w:line="336" w:lineRule="atLeast"/>
        <w:rPr>
          <w:rFonts w:ascii="Arial" w:eastAsia="Times New Roman" w:hAnsi="Arial" w:cs="Arial"/>
          <w:b/>
          <w:bCs/>
          <w:noProof/>
          <w:color w:val="000000"/>
          <w:sz w:val="24"/>
          <w:szCs w:val="24"/>
        </w:rPr>
      </w:pPr>
      <w:r w:rsidRPr="00D92655">
        <w:rPr>
          <w:rFonts w:ascii="Arial" w:eastAsia="Times New Roman" w:hAnsi="Arial" w:cs="Arial"/>
          <w:b/>
          <w:bCs/>
          <w:noProof/>
          <w:color w:val="000000"/>
          <w:sz w:val="24"/>
          <w:szCs w:val="24"/>
        </w:rPr>
        <w:t>Criteria</w:t>
      </w:r>
    </w:p>
    <w:p w:rsidR="00D92655" w:rsidRPr="00D92655" w:rsidRDefault="00D92655" w:rsidP="00D92655">
      <w:pPr>
        <w:shd w:val="clear" w:color="auto" w:fill="FFFFFF"/>
        <w:spacing w:after="120" w:line="336" w:lineRule="atLeast"/>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Inclusion Criteria:</w:t>
      </w:r>
    </w:p>
    <w:p w:rsidR="00D92655" w:rsidRPr="00D92655" w:rsidRDefault="00D92655" w:rsidP="00D92655">
      <w:pPr>
        <w:numPr>
          <w:ilvl w:val="0"/>
          <w:numId w:val="8"/>
        </w:numPr>
        <w:shd w:val="clear" w:color="auto" w:fill="FFFFFF"/>
        <w:spacing w:after="120" w:line="336" w:lineRule="atLeast"/>
        <w:ind w:left="0"/>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1) Males and females with a diagnosis of MS</w:t>
      </w:r>
    </w:p>
    <w:p w:rsidR="00D92655" w:rsidRPr="00D92655" w:rsidRDefault="00D92655" w:rsidP="00D92655">
      <w:pPr>
        <w:numPr>
          <w:ilvl w:val="1"/>
          <w:numId w:val="8"/>
        </w:numPr>
        <w:shd w:val="clear" w:color="auto" w:fill="FFFFFF"/>
        <w:spacing w:after="120" w:line="336" w:lineRule="atLeast"/>
        <w:ind w:left="720"/>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Relapsing remitting MS (RRMS) not responding to at least 1 year of attempted therapy with one or more of the approved therapies (beta-interferon, glatiramer acetate, natalizumab, mitoxantrone, fingolimod, dimethyl fumarate, teriflunomide, alemtuzumab) as evidenced by at least one of the following:</w:t>
      </w:r>
    </w:p>
    <w:p w:rsidR="00D92655" w:rsidRPr="00D92655" w:rsidRDefault="00D92655" w:rsidP="00D92655">
      <w:pPr>
        <w:numPr>
          <w:ilvl w:val="2"/>
          <w:numId w:val="8"/>
        </w:numPr>
        <w:shd w:val="clear" w:color="auto" w:fill="FFFFFF"/>
        <w:spacing w:before="84" w:after="60" w:line="336" w:lineRule="atLeast"/>
        <w:ind w:left="720"/>
        <w:rPr>
          <w:rFonts w:ascii="Arial" w:eastAsia="Times New Roman" w:hAnsi="Arial" w:cs="Arial"/>
          <w:noProof/>
          <w:color w:val="8194BC"/>
          <w:sz w:val="21"/>
          <w:szCs w:val="21"/>
        </w:rPr>
      </w:pPr>
      <w:r w:rsidRPr="00D92655">
        <w:rPr>
          <w:rFonts w:ascii="Arial" w:eastAsia="Times New Roman" w:hAnsi="Arial" w:cs="Arial"/>
          <w:noProof/>
          <w:color w:val="000000"/>
          <w:sz w:val="21"/>
        </w:rPr>
        <w:t>i) ≥1 clinically documented relapse in past 12 months</w:t>
      </w:r>
    </w:p>
    <w:p w:rsidR="00D92655" w:rsidRPr="00D92655" w:rsidRDefault="00D92655" w:rsidP="00D92655">
      <w:pPr>
        <w:numPr>
          <w:ilvl w:val="2"/>
          <w:numId w:val="8"/>
        </w:numPr>
        <w:shd w:val="clear" w:color="auto" w:fill="FFFFFF"/>
        <w:spacing w:before="84" w:after="60" w:line="336" w:lineRule="atLeast"/>
        <w:ind w:left="720"/>
        <w:rPr>
          <w:rFonts w:ascii="Arial" w:eastAsia="Times New Roman" w:hAnsi="Arial" w:cs="Arial"/>
          <w:noProof/>
          <w:color w:val="8194BC"/>
          <w:sz w:val="21"/>
          <w:szCs w:val="21"/>
        </w:rPr>
      </w:pPr>
      <w:r w:rsidRPr="00D92655">
        <w:rPr>
          <w:rFonts w:ascii="Arial" w:eastAsia="Times New Roman" w:hAnsi="Arial" w:cs="Arial"/>
          <w:noProof/>
          <w:color w:val="000000"/>
          <w:sz w:val="21"/>
        </w:rPr>
        <w:t>ii) ≥2 clinically documented relapses in past 24 months</w:t>
      </w:r>
    </w:p>
    <w:p w:rsidR="00D92655" w:rsidRPr="00D92655" w:rsidRDefault="00D92655" w:rsidP="00D92655">
      <w:pPr>
        <w:numPr>
          <w:ilvl w:val="2"/>
          <w:numId w:val="8"/>
        </w:numPr>
        <w:shd w:val="clear" w:color="auto" w:fill="FFFFFF"/>
        <w:spacing w:before="84" w:after="60" w:line="336" w:lineRule="atLeast"/>
        <w:ind w:left="720"/>
        <w:rPr>
          <w:rFonts w:ascii="Arial" w:eastAsia="Times New Roman" w:hAnsi="Arial" w:cs="Arial"/>
          <w:noProof/>
          <w:color w:val="8194BC"/>
          <w:sz w:val="21"/>
          <w:szCs w:val="21"/>
        </w:rPr>
      </w:pPr>
      <w:r w:rsidRPr="00D92655">
        <w:rPr>
          <w:rFonts w:ascii="Arial" w:eastAsia="Times New Roman" w:hAnsi="Arial" w:cs="Arial"/>
          <w:noProof/>
          <w:color w:val="000000"/>
          <w:sz w:val="21"/>
        </w:rPr>
        <w:t>iii) ≥1 gadolinium-enhancing lesion (GEL) at MRI performed within the past 12 months</w:t>
      </w:r>
    </w:p>
    <w:p w:rsidR="00D92655" w:rsidRPr="00D92655" w:rsidRDefault="00D92655" w:rsidP="00D92655">
      <w:pPr>
        <w:numPr>
          <w:ilvl w:val="1"/>
          <w:numId w:val="8"/>
        </w:numPr>
        <w:shd w:val="clear" w:color="auto" w:fill="FFFFFF"/>
        <w:spacing w:after="120" w:line="336" w:lineRule="atLeast"/>
        <w:ind w:left="720"/>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Secondary progressive MS (SPMS) with both:</w:t>
      </w:r>
    </w:p>
    <w:p w:rsidR="00D92655" w:rsidRPr="00D92655" w:rsidRDefault="00D92655" w:rsidP="00D92655">
      <w:pPr>
        <w:numPr>
          <w:ilvl w:val="2"/>
          <w:numId w:val="8"/>
        </w:numPr>
        <w:shd w:val="clear" w:color="auto" w:fill="FFFFFF"/>
        <w:spacing w:before="84" w:after="60" w:line="336" w:lineRule="atLeast"/>
        <w:ind w:left="720"/>
        <w:rPr>
          <w:rFonts w:ascii="Arial" w:eastAsia="Times New Roman" w:hAnsi="Arial" w:cs="Arial"/>
          <w:noProof/>
          <w:color w:val="8194BC"/>
          <w:sz w:val="21"/>
          <w:szCs w:val="21"/>
        </w:rPr>
      </w:pPr>
      <w:r w:rsidRPr="00D92655">
        <w:rPr>
          <w:rFonts w:ascii="Arial" w:eastAsia="Times New Roman" w:hAnsi="Arial" w:cs="Arial"/>
          <w:noProof/>
          <w:color w:val="000000"/>
          <w:sz w:val="21"/>
        </w:rPr>
        <w:t>i) an increase of ≥1 EDSS point (if at randomization EDSS ≤ 5.0) or 0.5 EDSS point (if at randomization EDSS ≥ 5.5) in the past 12 months</w:t>
      </w:r>
    </w:p>
    <w:p w:rsidR="00D92655" w:rsidRPr="00D92655" w:rsidRDefault="00D92655" w:rsidP="00D92655">
      <w:pPr>
        <w:numPr>
          <w:ilvl w:val="2"/>
          <w:numId w:val="8"/>
        </w:numPr>
        <w:shd w:val="clear" w:color="auto" w:fill="FFFFFF"/>
        <w:spacing w:before="84" w:after="60" w:line="336" w:lineRule="atLeast"/>
        <w:ind w:left="720"/>
        <w:rPr>
          <w:rFonts w:ascii="Arial" w:eastAsia="Times New Roman" w:hAnsi="Arial" w:cs="Arial"/>
          <w:noProof/>
          <w:color w:val="8194BC"/>
          <w:sz w:val="21"/>
          <w:szCs w:val="21"/>
        </w:rPr>
      </w:pPr>
      <w:r w:rsidRPr="00D92655">
        <w:rPr>
          <w:rFonts w:ascii="Arial" w:eastAsia="Times New Roman" w:hAnsi="Arial" w:cs="Arial"/>
          <w:noProof/>
          <w:color w:val="000000"/>
          <w:sz w:val="21"/>
        </w:rPr>
        <w:t>ii) ≥1 clinically documented relapse or ≥ 1 gadolinium-enhancing lesion (GEL) at MRI within the past 12 months</w:t>
      </w:r>
    </w:p>
    <w:p w:rsidR="00D92655" w:rsidRPr="00D92655" w:rsidRDefault="00D92655" w:rsidP="00D92655">
      <w:pPr>
        <w:numPr>
          <w:ilvl w:val="1"/>
          <w:numId w:val="8"/>
        </w:numPr>
        <w:shd w:val="clear" w:color="auto" w:fill="FFFFFF"/>
        <w:spacing w:after="120" w:line="336" w:lineRule="atLeast"/>
        <w:ind w:left="720"/>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Primary progressive MS (PPMS) patients with all the following features:</w:t>
      </w:r>
    </w:p>
    <w:p w:rsidR="00D92655" w:rsidRPr="00D92655" w:rsidRDefault="00D92655" w:rsidP="00D92655">
      <w:pPr>
        <w:numPr>
          <w:ilvl w:val="2"/>
          <w:numId w:val="8"/>
        </w:numPr>
        <w:shd w:val="clear" w:color="auto" w:fill="FFFFFF"/>
        <w:spacing w:before="84" w:after="60" w:line="336" w:lineRule="atLeast"/>
        <w:ind w:left="720"/>
        <w:rPr>
          <w:rFonts w:ascii="Arial" w:eastAsia="Times New Roman" w:hAnsi="Arial" w:cs="Arial"/>
          <w:noProof/>
          <w:color w:val="8194BC"/>
          <w:sz w:val="21"/>
          <w:szCs w:val="21"/>
        </w:rPr>
      </w:pPr>
      <w:r w:rsidRPr="00D92655">
        <w:rPr>
          <w:rFonts w:ascii="Arial" w:eastAsia="Times New Roman" w:hAnsi="Arial" w:cs="Arial"/>
          <w:noProof/>
          <w:color w:val="000000"/>
          <w:sz w:val="21"/>
        </w:rPr>
        <w:t>i) an increase of ≥1 EDSS point (if at randomization EDSS ≤ 5.0) or 0.5 EDSS point (if at randomization EDSS ≥5.5), in the past 12 months</w:t>
      </w:r>
    </w:p>
    <w:p w:rsidR="00D92655" w:rsidRPr="00D92655" w:rsidRDefault="00D92655" w:rsidP="00D92655">
      <w:pPr>
        <w:numPr>
          <w:ilvl w:val="2"/>
          <w:numId w:val="8"/>
        </w:numPr>
        <w:shd w:val="clear" w:color="auto" w:fill="FFFFFF"/>
        <w:spacing w:before="84" w:after="60" w:line="336" w:lineRule="atLeast"/>
        <w:ind w:left="720"/>
        <w:rPr>
          <w:rFonts w:ascii="Arial" w:eastAsia="Times New Roman" w:hAnsi="Arial" w:cs="Arial"/>
          <w:noProof/>
          <w:color w:val="8194BC"/>
          <w:sz w:val="21"/>
          <w:szCs w:val="21"/>
        </w:rPr>
      </w:pPr>
      <w:r w:rsidRPr="00D92655">
        <w:rPr>
          <w:rFonts w:ascii="Arial" w:eastAsia="Times New Roman" w:hAnsi="Arial" w:cs="Arial"/>
          <w:noProof/>
          <w:color w:val="000000"/>
          <w:sz w:val="21"/>
        </w:rPr>
        <w:t>ii) ≥ 1 gadolinium-enhancing lesion (GEL) at MRI performed within the past 12 months</w:t>
      </w:r>
    </w:p>
    <w:p w:rsidR="00D92655" w:rsidRPr="00D92655" w:rsidRDefault="00D92655" w:rsidP="00D92655">
      <w:pPr>
        <w:numPr>
          <w:ilvl w:val="2"/>
          <w:numId w:val="8"/>
        </w:numPr>
        <w:shd w:val="clear" w:color="auto" w:fill="FFFFFF"/>
        <w:spacing w:before="84" w:after="60" w:line="336" w:lineRule="atLeast"/>
        <w:ind w:left="720"/>
        <w:rPr>
          <w:rFonts w:ascii="Arial" w:eastAsia="Times New Roman" w:hAnsi="Arial" w:cs="Arial"/>
          <w:noProof/>
          <w:color w:val="8194BC"/>
          <w:sz w:val="21"/>
          <w:szCs w:val="21"/>
        </w:rPr>
      </w:pPr>
      <w:r w:rsidRPr="00D92655">
        <w:rPr>
          <w:rFonts w:ascii="Arial" w:eastAsia="Times New Roman" w:hAnsi="Arial" w:cs="Arial"/>
          <w:noProof/>
          <w:color w:val="000000"/>
          <w:sz w:val="21"/>
        </w:rPr>
        <w:t>iii) positive cerebrospinal fluid (CSF) (oligoclonal banding)</w:t>
      </w:r>
    </w:p>
    <w:p w:rsidR="00D92655" w:rsidRPr="00D92655" w:rsidRDefault="00D92655" w:rsidP="00D92655">
      <w:pPr>
        <w:numPr>
          <w:ilvl w:val="0"/>
          <w:numId w:val="8"/>
        </w:numPr>
        <w:shd w:val="clear" w:color="auto" w:fill="FFFFFF"/>
        <w:spacing w:before="84" w:after="60" w:line="336" w:lineRule="atLeast"/>
        <w:ind w:left="0"/>
        <w:rPr>
          <w:rFonts w:ascii="Arial" w:eastAsia="Times New Roman" w:hAnsi="Arial" w:cs="Arial"/>
          <w:noProof/>
          <w:color w:val="8194BC"/>
          <w:sz w:val="21"/>
          <w:szCs w:val="21"/>
        </w:rPr>
      </w:pPr>
      <w:r w:rsidRPr="00D92655">
        <w:rPr>
          <w:rFonts w:ascii="Arial" w:eastAsia="Times New Roman" w:hAnsi="Arial" w:cs="Arial"/>
          <w:noProof/>
          <w:color w:val="000000"/>
          <w:sz w:val="21"/>
        </w:rPr>
        <w:t>2) Age 18 to 50 years old, inclusive at time of informed consent</w:t>
      </w:r>
    </w:p>
    <w:p w:rsidR="00D92655" w:rsidRPr="00D92655" w:rsidRDefault="00D92655" w:rsidP="00D92655">
      <w:pPr>
        <w:numPr>
          <w:ilvl w:val="0"/>
          <w:numId w:val="8"/>
        </w:numPr>
        <w:shd w:val="clear" w:color="auto" w:fill="FFFFFF"/>
        <w:spacing w:before="84" w:after="60" w:line="336" w:lineRule="atLeast"/>
        <w:ind w:left="0"/>
        <w:rPr>
          <w:rFonts w:ascii="Arial" w:eastAsia="Times New Roman" w:hAnsi="Arial" w:cs="Arial"/>
          <w:noProof/>
          <w:color w:val="8194BC"/>
          <w:sz w:val="21"/>
          <w:szCs w:val="21"/>
        </w:rPr>
      </w:pPr>
      <w:r w:rsidRPr="00D92655">
        <w:rPr>
          <w:rFonts w:ascii="Arial" w:eastAsia="Times New Roman" w:hAnsi="Arial" w:cs="Arial"/>
          <w:noProof/>
          <w:color w:val="000000"/>
          <w:sz w:val="21"/>
        </w:rPr>
        <w:t>3) Disease duration 2 to 10 years (inclusive)</w:t>
      </w:r>
    </w:p>
    <w:p w:rsidR="00D92655" w:rsidRPr="00D92655" w:rsidRDefault="00D92655" w:rsidP="00D92655">
      <w:pPr>
        <w:numPr>
          <w:ilvl w:val="0"/>
          <w:numId w:val="8"/>
        </w:numPr>
        <w:shd w:val="clear" w:color="auto" w:fill="FFFFFF"/>
        <w:spacing w:before="84" w:after="60" w:line="336" w:lineRule="atLeast"/>
        <w:ind w:left="0"/>
        <w:rPr>
          <w:rFonts w:ascii="Arial" w:eastAsia="Times New Roman" w:hAnsi="Arial" w:cs="Arial"/>
          <w:noProof/>
          <w:color w:val="8194BC"/>
          <w:sz w:val="21"/>
          <w:szCs w:val="21"/>
        </w:rPr>
      </w:pPr>
      <w:r w:rsidRPr="00D92655">
        <w:rPr>
          <w:rFonts w:ascii="Arial" w:eastAsia="Times New Roman" w:hAnsi="Arial" w:cs="Arial"/>
          <w:noProof/>
          <w:color w:val="000000"/>
          <w:sz w:val="21"/>
        </w:rPr>
        <w:t>4) EDSS 3.0 to 6.5</w:t>
      </w:r>
    </w:p>
    <w:p w:rsidR="00D92655" w:rsidRPr="00D92655" w:rsidRDefault="00D92655" w:rsidP="00D92655">
      <w:pPr>
        <w:numPr>
          <w:ilvl w:val="0"/>
          <w:numId w:val="8"/>
        </w:numPr>
        <w:shd w:val="clear" w:color="auto" w:fill="FFFFFF"/>
        <w:spacing w:before="84" w:after="60" w:line="336" w:lineRule="atLeast"/>
        <w:ind w:left="0"/>
        <w:rPr>
          <w:rFonts w:ascii="Arial" w:eastAsia="Times New Roman" w:hAnsi="Arial" w:cs="Arial"/>
          <w:noProof/>
          <w:color w:val="8194BC"/>
          <w:sz w:val="21"/>
          <w:szCs w:val="21"/>
        </w:rPr>
      </w:pPr>
      <w:r w:rsidRPr="00D92655">
        <w:rPr>
          <w:rFonts w:ascii="Arial" w:eastAsia="Times New Roman" w:hAnsi="Arial" w:cs="Arial"/>
          <w:noProof/>
          <w:color w:val="000000"/>
          <w:sz w:val="21"/>
        </w:rPr>
        <w:t>5) Able and willing to sign informed consent prior to any study-related activities</w:t>
      </w:r>
    </w:p>
    <w:p w:rsidR="00D92655" w:rsidRPr="00D92655" w:rsidRDefault="00D92655" w:rsidP="00D92655">
      <w:pPr>
        <w:shd w:val="clear" w:color="auto" w:fill="FFFFFF"/>
        <w:spacing w:after="120" w:line="336" w:lineRule="atLeast"/>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Exclusion Criteria:</w:t>
      </w:r>
    </w:p>
    <w:p w:rsidR="00D92655" w:rsidRPr="00D92655" w:rsidRDefault="00D92655" w:rsidP="00D92655">
      <w:pPr>
        <w:numPr>
          <w:ilvl w:val="0"/>
          <w:numId w:val="9"/>
        </w:numPr>
        <w:shd w:val="clear" w:color="auto" w:fill="FFFFFF"/>
        <w:spacing w:before="84" w:after="60" w:line="336" w:lineRule="atLeast"/>
        <w:ind w:left="0"/>
        <w:rPr>
          <w:rFonts w:ascii="Arial" w:eastAsia="Times New Roman" w:hAnsi="Arial" w:cs="Arial"/>
          <w:noProof/>
          <w:color w:val="8194BC"/>
          <w:sz w:val="21"/>
          <w:szCs w:val="21"/>
        </w:rPr>
      </w:pPr>
      <w:r w:rsidRPr="00D92655">
        <w:rPr>
          <w:rFonts w:ascii="Arial" w:eastAsia="Times New Roman" w:hAnsi="Arial" w:cs="Arial"/>
          <w:noProof/>
          <w:color w:val="000000"/>
          <w:sz w:val="21"/>
        </w:rPr>
        <w:t>1) RRMS not fulfilling inclusion criteria</w:t>
      </w:r>
    </w:p>
    <w:p w:rsidR="00D92655" w:rsidRPr="00D92655" w:rsidRDefault="00D92655" w:rsidP="00D92655">
      <w:pPr>
        <w:numPr>
          <w:ilvl w:val="0"/>
          <w:numId w:val="9"/>
        </w:numPr>
        <w:shd w:val="clear" w:color="auto" w:fill="FFFFFF"/>
        <w:spacing w:before="84" w:after="60" w:line="336" w:lineRule="atLeast"/>
        <w:ind w:left="0"/>
        <w:rPr>
          <w:rFonts w:ascii="Arial" w:eastAsia="Times New Roman" w:hAnsi="Arial" w:cs="Arial"/>
          <w:noProof/>
          <w:color w:val="8194BC"/>
          <w:sz w:val="21"/>
          <w:szCs w:val="21"/>
        </w:rPr>
      </w:pPr>
      <w:r w:rsidRPr="00D92655">
        <w:rPr>
          <w:rFonts w:ascii="Arial" w:eastAsia="Times New Roman" w:hAnsi="Arial" w:cs="Arial"/>
          <w:noProof/>
          <w:color w:val="000000"/>
          <w:sz w:val="21"/>
        </w:rPr>
        <w:t>2) SPMS not fulfilling inclusion criteria</w:t>
      </w:r>
    </w:p>
    <w:p w:rsidR="00D92655" w:rsidRPr="00D92655" w:rsidRDefault="00D92655" w:rsidP="00D92655">
      <w:pPr>
        <w:numPr>
          <w:ilvl w:val="0"/>
          <w:numId w:val="9"/>
        </w:numPr>
        <w:shd w:val="clear" w:color="auto" w:fill="FFFFFF"/>
        <w:spacing w:before="84" w:after="60" w:line="336" w:lineRule="atLeast"/>
        <w:ind w:left="0"/>
        <w:rPr>
          <w:rFonts w:ascii="Arial" w:eastAsia="Times New Roman" w:hAnsi="Arial" w:cs="Arial"/>
          <w:noProof/>
          <w:color w:val="8194BC"/>
          <w:sz w:val="21"/>
          <w:szCs w:val="21"/>
        </w:rPr>
      </w:pPr>
      <w:r w:rsidRPr="00D92655">
        <w:rPr>
          <w:rFonts w:ascii="Arial" w:eastAsia="Times New Roman" w:hAnsi="Arial" w:cs="Arial"/>
          <w:noProof/>
          <w:color w:val="000000"/>
          <w:sz w:val="21"/>
        </w:rPr>
        <w:t>3) PPMS not fulfilling inclusion criteria</w:t>
      </w:r>
    </w:p>
    <w:p w:rsidR="00D92655" w:rsidRPr="00D92655" w:rsidRDefault="00D92655" w:rsidP="00D92655">
      <w:pPr>
        <w:numPr>
          <w:ilvl w:val="0"/>
          <w:numId w:val="9"/>
        </w:numPr>
        <w:shd w:val="clear" w:color="auto" w:fill="FFFFFF"/>
        <w:spacing w:before="84" w:after="60" w:line="336" w:lineRule="atLeast"/>
        <w:ind w:left="0"/>
        <w:rPr>
          <w:rFonts w:ascii="Arial" w:eastAsia="Times New Roman" w:hAnsi="Arial" w:cs="Arial"/>
          <w:noProof/>
          <w:color w:val="8194BC"/>
          <w:sz w:val="21"/>
          <w:szCs w:val="21"/>
        </w:rPr>
      </w:pPr>
      <w:r w:rsidRPr="00D92655">
        <w:rPr>
          <w:rFonts w:ascii="Arial" w:eastAsia="Times New Roman" w:hAnsi="Arial" w:cs="Arial"/>
          <w:noProof/>
          <w:color w:val="000000"/>
          <w:sz w:val="21"/>
        </w:rPr>
        <w:t>4) A history of active or chronic infection including infection with HIV1-2, chronic Hepatitis B or Hepatitis C</w:t>
      </w:r>
    </w:p>
    <w:p w:rsidR="00D92655" w:rsidRPr="00D92655" w:rsidRDefault="00D92655" w:rsidP="00D92655">
      <w:pPr>
        <w:numPr>
          <w:ilvl w:val="0"/>
          <w:numId w:val="9"/>
        </w:numPr>
        <w:shd w:val="clear" w:color="auto" w:fill="FFFFFF"/>
        <w:spacing w:before="84" w:after="60" w:line="336" w:lineRule="atLeast"/>
        <w:ind w:left="0"/>
        <w:rPr>
          <w:rFonts w:ascii="Arial" w:eastAsia="Times New Roman" w:hAnsi="Arial" w:cs="Arial"/>
          <w:noProof/>
          <w:color w:val="8194BC"/>
          <w:sz w:val="21"/>
          <w:szCs w:val="21"/>
        </w:rPr>
      </w:pPr>
      <w:r w:rsidRPr="00D92655">
        <w:rPr>
          <w:rFonts w:ascii="Arial" w:eastAsia="Times New Roman" w:hAnsi="Arial" w:cs="Arial"/>
          <w:noProof/>
          <w:color w:val="000000"/>
          <w:sz w:val="21"/>
        </w:rPr>
        <w:lastRenderedPageBreak/>
        <w:t>5) Treatment with any immunosuppressive therapy, including natalizumab and fingolimod, within the 3 months prior to randomization</w:t>
      </w:r>
    </w:p>
    <w:p w:rsidR="00D92655" w:rsidRPr="00D92655" w:rsidRDefault="00D92655" w:rsidP="00D92655">
      <w:pPr>
        <w:numPr>
          <w:ilvl w:val="0"/>
          <w:numId w:val="9"/>
        </w:numPr>
        <w:shd w:val="clear" w:color="auto" w:fill="FFFFFF"/>
        <w:spacing w:before="84" w:after="60" w:line="336" w:lineRule="atLeast"/>
        <w:ind w:left="0"/>
        <w:rPr>
          <w:rFonts w:ascii="Arial" w:eastAsia="Times New Roman" w:hAnsi="Arial" w:cs="Arial"/>
          <w:noProof/>
          <w:color w:val="8194BC"/>
          <w:sz w:val="21"/>
          <w:szCs w:val="21"/>
        </w:rPr>
      </w:pPr>
      <w:r w:rsidRPr="00D92655">
        <w:rPr>
          <w:rFonts w:ascii="Arial" w:eastAsia="Times New Roman" w:hAnsi="Arial" w:cs="Arial"/>
          <w:noProof/>
          <w:color w:val="000000"/>
          <w:sz w:val="21"/>
        </w:rPr>
        <w:t>6) Previous treatment with cladribine or alemtuzumab</w:t>
      </w:r>
    </w:p>
    <w:p w:rsidR="00D92655" w:rsidRPr="00D92655" w:rsidRDefault="00D92655" w:rsidP="00D92655">
      <w:pPr>
        <w:numPr>
          <w:ilvl w:val="0"/>
          <w:numId w:val="9"/>
        </w:numPr>
        <w:shd w:val="clear" w:color="auto" w:fill="FFFFFF"/>
        <w:spacing w:before="84" w:after="60" w:line="336" w:lineRule="atLeast"/>
        <w:ind w:left="0"/>
        <w:rPr>
          <w:rFonts w:ascii="Arial" w:eastAsia="Times New Roman" w:hAnsi="Arial" w:cs="Arial"/>
          <w:noProof/>
          <w:color w:val="8194BC"/>
          <w:sz w:val="21"/>
          <w:szCs w:val="21"/>
        </w:rPr>
      </w:pPr>
      <w:r w:rsidRPr="00D92655">
        <w:rPr>
          <w:rFonts w:ascii="Arial" w:eastAsia="Times New Roman" w:hAnsi="Arial" w:cs="Arial"/>
          <w:noProof/>
          <w:color w:val="000000"/>
          <w:sz w:val="21"/>
        </w:rPr>
        <w:t>7) Treatment with interferon-beta, glatiramer acetate, teriflunomide or dimethyl fumarate within the 30 days prior to randomization (all teriflunomide patients will be required to have followed a wash-out with either cholestyramine or activated charcoal as indicated in the product monograph)</w:t>
      </w:r>
    </w:p>
    <w:p w:rsidR="00D92655" w:rsidRPr="00D92655" w:rsidRDefault="00D92655" w:rsidP="00D92655">
      <w:pPr>
        <w:numPr>
          <w:ilvl w:val="0"/>
          <w:numId w:val="9"/>
        </w:numPr>
        <w:shd w:val="clear" w:color="auto" w:fill="FFFFFF"/>
        <w:spacing w:before="84" w:after="60" w:line="336" w:lineRule="atLeast"/>
        <w:ind w:left="0"/>
        <w:rPr>
          <w:rFonts w:ascii="Arial" w:eastAsia="Times New Roman" w:hAnsi="Arial" w:cs="Arial"/>
          <w:noProof/>
          <w:color w:val="8194BC"/>
          <w:sz w:val="21"/>
          <w:szCs w:val="21"/>
        </w:rPr>
      </w:pPr>
      <w:r w:rsidRPr="00D92655">
        <w:rPr>
          <w:rFonts w:ascii="Arial" w:eastAsia="Times New Roman" w:hAnsi="Arial" w:cs="Arial"/>
          <w:noProof/>
          <w:color w:val="000000"/>
          <w:sz w:val="21"/>
        </w:rPr>
        <w:t>8) Treatment with corticosteroids within the 30 days prior to randomization</w:t>
      </w:r>
    </w:p>
    <w:p w:rsidR="00D92655" w:rsidRPr="00D92655" w:rsidRDefault="00D92655" w:rsidP="00D92655">
      <w:pPr>
        <w:numPr>
          <w:ilvl w:val="0"/>
          <w:numId w:val="9"/>
        </w:numPr>
        <w:shd w:val="clear" w:color="auto" w:fill="FFFFFF"/>
        <w:spacing w:before="84" w:after="60" w:line="336" w:lineRule="atLeast"/>
        <w:ind w:left="0"/>
        <w:rPr>
          <w:rFonts w:ascii="Arial" w:eastAsia="Times New Roman" w:hAnsi="Arial" w:cs="Arial"/>
          <w:noProof/>
          <w:color w:val="8194BC"/>
          <w:sz w:val="21"/>
          <w:szCs w:val="21"/>
        </w:rPr>
      </w:pPr>
      <w:r w:rsidRPr="00D92655">
        <w:rPr>
          <w:rFonts w:ascii="Arial" w:eastAsia="Times New Roman" w:hAnsi="Arial" w:cs="Arial"/>
          <w:noProof/>
          <w:color w:val="000000"/>
          <w:sz w:val="21"/>
        </w:rPr>
        <w:t>9) Relapse occurred during the 60 days prior to randomization</w:t>
      </w:r>
    </w:p>
    <w:p w:rsidR="00D92655" w:rsidRPr="00D92655" w:rsidRDefault="00D92655" w:rsidP="00D92655">
      <w:pPr>
        <w:numPr>
          <w:ilvl w:val="0"/>
          <w:numId w:val="9"/>
        </w:numPr>
        <w:shd w:val="clear" w:color="auto" w:fill="FFFFFF"/>
        <w:spacing w:before="84" w:after="60" w:line="336" w:lineRule="atLeast"/>
        <w:ind w:left="0"/>
        <w:rPr>
          <w:rFonts w:ascii="Arial" w:eastAsia="Times New Roman" w:hAnsi="Arial" w:cs="Arial"/>
          <w:noProof/>
          <w:color w:val="8194BC"/>
          <w:sz w:val="21"/>
          <w:szCs w:val="21"/>
        </w:rPr>
      </w:pPr>
      <w:r w:rsidRPr="00D92655">
        <w:rPr>
          <w:rFonts w:ascii="Arial" w:eastAsia="Times New Roman" w:hAnsi="Arial" w:cs="Arial"/>
          <w:noProof/>
          <w:color w:val="000000"/>
          <w:sz w:val="21"/>
        </w:rPr>
        <w:t>10) Previous history of a malignancy (patient reported) other than basal cell carcinoma of the skin or carcinoma in situ that has been in remission for more than one year</w:t>
      </w:r>
    </w:p>
    <w:p w:rsidR="00D92655" w:rsidRPr="00D92655" w:rsidRDefault="00D92655" w:rsidP="00D92655">
      <w:pPr>
        <w:numPr>
          <w:ilvl w:val="0"/>
          <w:numId w:val="9"/>
        </w:numPr>
        <w:shd w:val="clear" w:color="auto" w:fill="FFFFFF"/>
        <w:spacing w:before="84" w:after="60" w:line="336" w:lineRule="atLeast"/>
        <w:ind w:left="0"/>
        <w:rPr>
          <w:rFonts w:ascii="Arial" w:eastAsia="Times New Roman" w:hAnsi="Arial" w:cs="Arial"/>
          <w:noProof/>
          <w:color w:val="8194BC"/>
          <w:sz w:val="21"/>
          <w:szCs w:val="21"/>
        </w:rPr>
      </w:pPr>
      <w:r w:rsidRPr="00D92655">
        <w:rPr>
          <w:rFonts w:ascii="Arial" w:eastAsia="Times New Roman" w:hAnsi="Arial" w:cs="Arial"/>
          <w:noProof/>
          <w:color w:val="000000"/>
          <w:sz w:val="21"/>
        </w:rPr>
        <w:t>11) Severely limited life expectancy by any other co-morbid illness</w:t>
      </w:r>
    </w:p>
    <w:p w:rsidR="00D92655" w:rsidRPr="00D92655" w:rsidRDefault="00D92655" w:rsidP="00D92655">
      <w:pPr>
        <w:numPr>
          <w:ilvl w:val="0"/>
          <w:numId w:val="9"/>
        </w:numPr>
        <w:shd w:val="clear" w:color="auto" w:fill="FFFFFF"/>
        <w:spacing w:before="84" w:after="60" w:line="336" w:lineRule="atLeast"/>
        <w:ind w:left="0"/>
        <w:rPr>
          <w:rFonts w:ascii="Arial" w:eastAsia="Times New Roman" w:hAnsi="Arial" w:cs="Arial"/>
          <w:noProof/>
          <w:color w:val="8194BC"/>
          <w:sz w:val="21"/>
          <w:szCs w:val="21"/>
        </w:rPr>
      </w:pPr>
      <w:r w:rsidRPr="00D92655">
        <w:rPr>
          <w:rFonts w:ascii="Arial" w:eastAsia="Times New Roman" w:hAnsi="Arial" w:cs="Arial"/>
          <w:noProof/>
          <w:color w:val="000000"/>
          <w:sz w:val="21"/>
        </w:rPr>
        <w:t>12) History of previous diagnosis of myelodysplasia or previous hematologic disease (patient reported) or current clinically relevant abnormalities of white blood cell counts</w:t>
      </w:r>
    </w:p>
    <w:p w:rsidR="00D92655" w:rsidRPr="00D92655" w:rsidRDefault="00D92655" w:rsidP="00D92655">
      <w:pPr>
        <w:numPr>
          <w:ilvl w:val="0"/>
          <w:numId w:val="9"/>
        </w:numPr>
        <w:shd w:val="clear" w:color="auto" w:fill="FFFFFF"/>
        <w:spacing w:before="84" w:after="60" w:line="336" w:lineRule="atLeast"/>
        <w:ind w:left="0"/>
        <w:rPr>
          <w:rFonts w:ascii="Arial" w:eastAsia="Times New Roman" w:hAnsi="Arial" w:cs="Arial"/>
          <w:noProof/>
          <w:color w:val="8194BC"/>
          <w:sz w:val="21"/>
          <w:szCs w:val="21"/>
        </w:rPr>
      </w:pPr>
      <w:r w:rsidRPr="00D92655">
        <w:rPr>
          <w:rFonts w:ascii="Arial" w:eastAsia="Times New Roman" w:hAnsi="Arial" w:cs="Arial"/>
          <w:noProof/>
          <w:color w:val="000000"/>
          <w:sz w:val="21"/>
        </w:rPr>
        <w:t>13) Pregnancy or risk of pregnancy (this includes participants that are not willing to practice active contraception for the duration of the study)</w:t>
      </w:r>
    </w:p>
    <w:p w:rsidR="00D92655" w:rsidRPr="00D92655" w:rsidRDefault="00D92655" w:rsidP="00D92655">
      <w:pPr>
        <w:numPr>
          <w:ilvl w:val="0"/>
          <w:numId w:val="9"/>
        </w:numPr>
        <w:shd w:val="clear" w:color="auto" w:fill="FFFFFF"/>
        <w:spacing w:before="84" w:after="60" w:line="336" w:lineRule="atLeast"/>
        <w:ind w:left="0"/>
        <w:rPr>
          <w:rFonts w:ascii="Arial" w:eastAsia="Times New Roman" w:hAnsi="Arial" w:cs="Arial"/>
          <w:noProof/>
          <w:color w:val="8194BC"/>
          <w:sz w:val="21"/>
          <w:szCs w:val="21"/>
        </w:rPr>
      </w:pPr>
      <w:r w:rsidRPr="00D92655">
        <w:rPr>
          <w:rFonts w:ascii="Arial" w:eastAsia="Times New Roman" w:hAnsi="Arial" w:cs="Arial"/>
          <w:noProof/>
          <w:color w:val="000000"/>
          <w:sz w:val="21"/>
        </w:rPr>
        <w:t>14) eGFR &lt; 60 mL/min/1.73m2 or known renal failure or inability to undergo MRI examination</w:t>
      </w:r>
    </w:p>
    <w:p w:rsidR="00D92655" w:rsidRPr="00D92655" w:rsidRDefault="00D92655" w:rsidP="00D92655">
      <w:pPr>
        <w:numPr>
          <w:ilvl w:val="0"/>
          <w:numId w:val="9"/>
        </w:numPr>
        <w:shd w:val="clear" w:color="auto" w:fill="FFFFFF"/>
        <w:spacing w:before="84" w:after="60" w:line="336" w:lineRule="atLeast"/>
        <w:ind w:left="0"/>
        <w:rPr>
          <w:rFonts w:ascii="Arial" w:eastAsia="Times New Roman" w:hAnsi="Arial" w:cs="Arial"/>
          <w:noProof/>
          <w:color w:val="8194BC"/>
          <w:sz w:val="21"/>
          <w:szCs w:val="21"/>
        </w:rPr>
      </w:pPr>
      <w:r w:rsidRPr="00D92655">
        <w:rPr>
          <w:rFonts w:ascii="Arial" w:eastAsia="Times New Roman" w:hAnsi="Arial" w:cs="Arial"/>
          <w:noProof/>
          <w:color w:val="000000"/>
          <w:sz w:val="21"/>
        </w:rPr>
        <w:t>15) Known allergy to gentamicin or related aminoglycosides</w:t>
      </w:r>
    </w:p>
    <w:p w:rsidR="00D92655" w:rsidRPr="00D92655" w:rsidRDefault="00D92655" w:rsidP="00D92655">
      <w:pPr>
        <w:numPr>
          <w:ilvl w:val="0"/>
          <w:numId w:val="9"/>
        </w:numPr>
        <w:shd w:val="clear" w:color="auto" w:fill="FFFFFF"/>
        <w:spacing w:before="84" w:after="60" w:line="336" w:lineRule="atLeast"/>
        <w:ind w:left="0"/>
        <w:rPr>
          <w:rFonts w:ascii="Arial" w:eastAsia="Times New Roman" w:hAnsi="Arial" w:cs="Arial"/>
          <w:noProof/>
          <w:color w:val="8194BC"/>
          <w:sz w:val="21"/>
          <w:szCs w:val="21"/>
        </w:rPr>
      </w:pPr>
      <w:r w:rsidRPr="00D92655">
        <w:rPr>
          <w:rFonts w:ascii="Arial" w:eastAsia="Times New Roman" w:hAnsi="Arial" w:cs="Arial"/>
          <w:noProof/>
          <w:color w:val="000000"/>
          <w:sz w:val="21"/>
        </w:rPr>
        <w:t>16) Inability to give written informed consent in accordance with research ethics board guidelines</w:t>
      </w:r>
    </w:p>
    <w:p w:rsidR="00D92655" w:rsidRPr="00D92655" w:rsidRDefault="00D92655" w:rsidP="00D92655">
      <w:pPr>
        <w:numPr>
          <w:ilvl w:val="0"/>
          <w:numId w:val="9"/>
        </w:numPr>
        <w:shd w:val="clear" w:color="auto" w:fill="FFFFFF"/>
        <w:spacing w:before="84" w:after="60" w:line="336" w:lineRule="atLeast"/>
        <w:ind w:left="0"/>
        <w:rPr>
          <w:rFonts w:ascii="Arial" w:eastAsia="Times New Roman" w:hAnsi="Arial" w:cs="Arial"/>
          <w:noProof/>
          <w:color w:val="8194BC"/>
          <w:sz w:val="21"/>
          <w:szCs w:val="21"/>
        </w:rPr>
      </w:pPr>
      <w:r w:rsidRPr="00D92655">
        <w:rPr>
          <w:rFonts w:ascii="Arial" w:eastAsia="Times New Roman" w:hAnsi="Arial" w:cs="Arial"/>
          <w:noProof/>
          <w:color w:val="000000"/>
          <w:sz w:val="21"/>
        </w:rPr>
        <w:t>17) Concomitant participation in another clinical trial</w:t>
      </w:r>
    </w:p>
    <w:p w:rsidR="00D92655" w:rsidRPr="00D92655" w:rsidRDefault="00D92655" w:rsidP="00D92655">
      <w:pPr>
        <w:numPr>
          <w:ilvl w:val="0"/>
          <w:numId w:val="9"/>
        </w:numPr>
        <w:shd w:val="clear" w:color="auto" w:fill="FFFFFF"/>
        <w:spacing w:before="84" w:after="60" w:line="336" w:lineRule="atLeast"/>
        <w:ind w:left="0"/>
        <w:rPr>
          <w:rFonts w:ascii="Arial" w:eastAsia="Times New Roman" w:hAnsi="Arial" w:cs="Arial"/>
          <w:noProof/>
          <w:color w:val="8194BC"/>
          <w:sz w:val="21"/>
          <w:szCs w:val="21"/>
        </w:rPr>
      </w:pPr>
      <w:r w:rsidRPr="00D92655">
        <w:rPr>
          <w:rFonts w:ascii="Arial" w:eastAsia="Times New Roman" w:hAnsi="Arial" w:cs="Arial"/>
          <w:noProof/>
          <w:color w:val="000000"/>
          <w:sz w:val="21"/>
        </w:rPr>
        <w:t>18) Inability to adhere to protocol according to the investigator's medical judgement</w:t>
      </w:r>
    </w:p>
    <w:p w:rsidR="00D92655" w:rsidRPr="00D92655" w:rsidRDefault="00D92655" w:rsidP="00D92655">
      <w:pPr>
        <w:shd w:val="clear" w:color="auto" w:fill="FFFFFF"/>
        <w:spacing w:after="0" w:line="294" w:lineRule="atLeast"/>
        <w:rPr>
          <w:rFonts w:ascii="Arial" w:eastAsia="Times New Roman" w:hAnsi="Arial" w:cs="Arial"/>
          <w:noProof/>
          <w:color w:val="000000"/>
          <w:sz w:val="21"/>
          <w:szCs w:val="21"/>
        </w:rPr>
      </w:pPr>
      <w:bookmarkStart w:id="1" w:name="contacts"/>
      <w:bookmarkEnd w:id="1"/>
      <w:r w:rsidRPr="00D92655">
        <w:rPr>
          <w:rFonts w:ascii="Arial" w:eastAsia="Times New Roman" w:hAnsi="Arial" w:cs="Arial"/>
          <w:noProof/>
          <w:color w:val="000000"/>
          <w:sz w:val="21"/>
          <w:szCs w:val="21"/>
        </w:rPr>
        <w:drawing>
          <wp:inline distT="0" distB="0" distL="0" distR="0">
            <wp:extent cx="152400" cy="142875"/>
            <wp:effectExtent l="19050" t="0" r="0" b="0"/>
            <wp:docPr id="3" name="Picture 3" descr="https://clinicaltrials.gov/ct2/html/images/frame/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linicaltrials.gov/ct2/html/images/frame/triangle.gif"/>
                    <pic:cNvPicPr>
                      <a:picLocks noChangeAspect="1" noChangeArrowheads="1"/>
                    </pic:cNvPicPr>
                  </pic:nvPicPr>
                  <pic:blipFill>
                    <a:blip r:embed="rId22"/>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D92655">
        <w:rPr>
          <w:rFonts w:ascii="Arial" w:eastAsia="Times New Roman" w:hAnsi="Arial" w:cs="Arial"/>
          <w:b/>
          <w:bCs/>
          <w:noProof/>
          <w:color w:val="000000"/>
          <w:sz w:val="27"/>
        </w:rPr>
        <w:t>  Contacts and Locations</w:t>
      </w:r>
    </w:p>
    <w:p w:rsidR="00D92655" w:rsidRPr="00D92655" w:rsidRDefault="00D92655" w:rsidP="00D92655">
      <w:pPr>
        <w:shd w:val="clear" w:color="auto" w:fill="FFFFFF"/>
        <w:spacing w:after="240" w:line="336" w:lineRule="atLeast"/>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Choosing to participate in a study is an important personal decision. Talk with your doctor and family members or friends about deciding to join a study. To learn more about this study, you or your doctor may contact the study research staff using the Contacts provided below. For general information, see</w:t>
      </w:r>
      <w:r w:rsidRPr="00D92655">
        <w:rPr>
          <w:rFonts w:ascii="Arial" w:eastAsia="Times New Roman" w:hAnsi="Arial" w:cs="Arial"/>
          <w:noProof/>
          <w:color w:val="000000"/>
          <w:sz w:val="21"/>
        </w:rPr>
        <w:t> </w:t>
      </w:r>
      <w:hyperlink r:id="rId33" w:tgtFrame="def_win" w:tooltip="Learn About Clinical Studies - opens new window" w:history="1">
        <w:r w:rsidRPr="00D92655">
          <w:rPr>
            <w:rFonts w:ascii="Arial" w:eastAsia="Times New Roman" w:hAnsi="Arial" w:cs="Arial"/>
            <w:noProof/>
            <w:color w:val="1A3D85"/>
            <w:sz w:val="21"/>
            <w:u w:val="single"/>
          </w:rPr>
          <w:t>Learn About Clinical Studies.</w:t>
        </w:r>
      </w:hyperlink>
      <w:r w:rsidRPr="00D92655">
        <w:rPr>
          <w:rFonts w:ascii="Arial" w:eastAsia="Times New Roman" w:hAnsi="Arial" w:cs="Arial"/>
          <w:noProof/>
          <w:color w:val="000000"/>
          <w:sz w:val="21"/>
        </w:rPr>
        <w:t> </w:t>
      </w:r>
      <w:r w:rsidRPr="00D92655">
        <w:rPr>
          <w:rFonts w:ascii="Arial" w:eastAsia="Times New Roman" w:hAnsi="Arial" w:cs="Arial"/>
          <w:noProof/>
          <w:color w:val="000000"/>
          <w:sz w:val="21"/>
          <w:szCs w:val="21"/>
        </w:rPr>
        <w:br/>
      </w:r>
      <w:r w:rsidRPr="00D92655">
        <w:rPr>
          <w:rFonts w:ascii="Arial" w:eastAsia="Times New Roman" w:hAnsi="Arial" w:cs="Arial"/>
          <w:noProof/>
          <w:color w:val="000000"/>
          <w:sz w:val="21"/>
          <w:szCs w:val="21"/>
        </w:rPr>
        <w:br/>
        <w:t>Please refer to this study by its ClinicalTrials.gov identifier: NCT02239393</w:t>
      </w:r>
    </w:p>
    <w:p w:rsidR="00D92655" w:rsidRPr="00D92655" w:rsidRDefault="00D92655" w:rsidP="00D92655">
      <w:pPr>
        <w:shd w:val="clear" w:color="auto" w:fill="FFFFFF"/>
        <w:spacing w:after="0" w:line="336" w:lineRule="atLeast"/>
        <w:rPr>
          <w:rFonts w:ascii="Arial" w:eastAsia="Times New Roman" w:hAnsi="Arial" w:cs="Arial"/>
          <w:b/>
          <w:bCs/>
          <w:noProof/>
          <w:color w:val="000000"/>
          <w:sz w:val="24"/>
          <w:szCs w:val="24"/>
        </w:rPr>
      </w:pPr>
      <w:r w:rsidRPr="00D92655">
        <w:rPr>
          <w:rFonts w:ascii="Arial" w:eastAsia="Times New Roman" w:hAnsi="Arial" w:cs="Arial"/>
          <w:b/>
          <w:bCs/>
          <w:noProof/>
          <w:color w:val="000000"/>
          <w:sz w:val="24"/>
          <w:szCs w:val="24"/>
        </w:rPr>
        <w:t>Contacts</w:t>
      </w:r>
    </w:p>
    <w:tbl>
      <w:tblPr>
        <w:tblW w:w="0" w:type="auto"/>
        <w:tblCellSpacing w:w="0" w:type="dxa"/>
        <w:tblCellMar>
          <w:left w:w="0" w:type="dxa"/>
          <w:right w:w="0" w:type="dxa"/>
        </w:tblCellMar>
        <w:tblLook w:val="04A0"/>
      </w:tblPr>
      <w:tblGrid>
        <w:gridCol w:w="3100"/>
        <w:gridCol w:w="2062"/>
        <w:gridCol w:w="2146"/>
        <w:gridCol w:w="6"/>
      </w:tblGrid>
      <w:tr w:rsidR="00D92655" w:rsidRPr="00D92655" w:rsidTr="00D92655">
        <w:trPr>
          <w:gridAfter w:val="3"/>
          <w:tblHeader/>
          <w:tblCellSpacing w:w="0" w:type="dxa"/>
        </w:trPr>
        <w:tc>
          <w:tcPr>
            <w:tcW w:w="0" w:type="auto"/>
            <w:vAlign w:val="center"/>
            <w:hideMark/>
          </w:tcPr>
          <w:p w:rsidR="00D92655" w:rsidRPr="00D92655" w:rsidRDefault="00D92655" w:rsidP="00D92655">
            <w:pPr>
              <w:spacing w:after="0" w:line="240" w:lineRule="auto"/>
              <w:rPr>
                <w:rFonts w:ascii="Times New Roman" w:eastAsia="Times New Roman" w:hAnsi="Times New Roman" w:cs="Times New Roman"/>
                <w:noProof/>
                <w:sz w:val="24"/>
                <w:szCs w:val="24"/>
              </w:rPr>
            </w:pPr>
          </w:p>
        </w:tc>
      </w:tr>
      <w:tr w:rsidR="00D92655" w:rsidRPr="00D92655" w:rsidTr="00D92655">
        <w:trPr>
          <w:tblCellSpacing w:w="0" w:type="dxa"/>
        </w:trPr>
        <w:tc>
          <w:tcPr>
            <w:tcW w:w="0" w:type="auto"/>
            <w:noWrap/>
            <w:tcMar>
              <w:top w:w="120" w:type="dxa"/>
              <w:left w:w="0" w:type="dxa"/>
              <w:bottom w:w="0" w:type="dxa"/>
              <w:right w:w="240" w:type="dxa"/>
            </w:tcMar>
            <w:vAlign w:val="center"/>
            <w:hideMark/>
          </w:tcPr>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Contact: Catherine Hilliker, RN</w:t>
            </w:r>
          </w:p>
        </w:tc>
        <w:tc>
          <w:tcPr>
            <w:tcW w:w="0" w:type="auto"/>
            <w:noWrap/>
            <w:tcMar>
              <w:top w:w="120" w:type="dxa"/>
              <w:left w:w="0" w:type="dxa"/>
              <w:bottom w:w="0" w:type="dxa"/>
              <w:right w:w="240" w:type="dxa"/>
            </w:tcMar>
            <w:vAlign w:val="center"/>
            <w:hideMark/>
          </w:tcPr>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613-737-8104 ext 7</w:t>
            </w:r>
          </w:p>
        </w:tc>
        <w:tc>
          <w:tcPr>
            <w:tcW w:w="0" w:type="auto"/>
            <w:noWrap/>
            <w:tcMar>
              <w:top w:w="120" w:type="dxa"/>
              <w:left w:w="0" w:type="dxa"/>
              <w:bottom w:w="0" w:type="dxa"/>
              <w:right w:w="240" w:type="dxa"/>
            </w:tcMar>
            <w:vAlign w:val="center"/>
            <w:hideMark/>
          </w:tcPr>
          <w:p w:rsidR="00D92655" w:rsidRPr="00D92655" w:rsidRDefault="000562FF" w:rsidP="00D92655">
            <w:pPr>
              <w:spacing w:after="0" w:line="336" w:lineRule="atLeast"/>
              <w:rPr>
                <w:rFonts w:ascii="Arial" w:eastAsia="Times New Roman" w:hAnsi="Arial" w:cs="Arial"/>
                <w:noProof/>
                <w:sz w:val="21"/>
                <w:szCs w:val="21"/>
              </w:rPr>
            </w:pPr>
            <w:hyperlink r:id="rId34" w:history="1">
              <w:r w:rsidR="00D92655" w:rsidRPr="00D92655">
                <w:rPr>
                  <w:rFonts w:ascii="Arial" w:eastAsia="Times New Roman" w:hAnsi="Arial" w:cs="Arial"/>
                  <w:noProof/>
                  <w:color w:val="1A3D85"/>
                  <w:sz w:val="21"/>
                </w:rPr>
                <w:t>MESCAMS@ohri.ca</w:t>
              </w:r>
            </w:hyperlink>
          </w:p>
        </w:tc>
        <w:tc>
          <w:tcPr>
            <w:tcW w:w="0" w:type="auto"/>
            <w:vAlign w:val="center"/>
            <w:hideMark/>
          </w:tcPr>
          <w:p w:rsidR="00D92655" w:rsidRPr="00D92655" w:rsidRDefault="00D92655" w:rsidP="00D92655">
            <w:pPr>
              <w:spacing w:after="0" w:line="336" w:lineRule="atLeast"/>
              <w:rPr>
                <w:rFonts w:ascii="Arial" w:eastAsia="Times New Roman" w:hAnsi="Arial" w:cs="Arial"/>
                <w:noProof/>
                <w:sz w:val="21"/>
                <w:szCs w:val="21"/>
              </w:rPr>
            </w:pPr>
          </w:p>
        </w:tc>
      </w:tr>
    </w:tbl>
    <w:p w:rsidR="00D92655" w:rsidRPr="00D92655" w:rsidRDefault="00D92655" w:rsidP="00D92655">
      <w:pPr>
        <w:shd w:val="clear" w:color="auto" w:fill="FFFFFF"/>
        <w:spacing w:after="0" w:line="336" w:lineRule="atLeast"/>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br/>
      </w:r>
      <w:bookmarkStart w:id="2" w:name="locn"/>
      <w:bookmarkEnd w:id="2"/>
    </w:p>
    <w:p w:rsidR="00D92655" w:rsidRPr="00D92655" w:rsidRDefault="00D92655" w:rsidP="00D92655">
      <w:pPr>
        <w:shd w:val="clear" w:color="auto" w:fill="FFFFFF"/>
        <w:spacing w:after="0" w:line="336" w:lineRule="atLeast"/>
        <w:rPr>
          <w:rFonts w:ascii="Arial" w:eastAsia="Times New Roman" w:hAnsi="Arial" w:cs="Arial"/>
          <w:b/>
          <w:bCs/>
          <w:noProof/>
          <w:color w:val="000000"/>
          <w:sz w:val="24"/>
          <w:szCs w:val="24"/>
        </w:rPr>
      </w:pPr>
      <w:r w:rsidRPr="00D92655">
        <w:rPr>
          <w:rFonts w:ascii="Arial" w:eastAsia="Times New Roman" w:hAnsi="Arial" w:cs="Arial"/>
          <w:b/>
          <w:bCs/>
          <w:noProof/>
          <w:color w:val="000000"/>
          <w:sz w:val="24"/>
          <w:szCs w:val="24"/>
        </w:rPr>
        <w:t>Locations</w:t>
      </w:r>
    </w:p>
    <w:tbl>
      <w:tblPr>
        <w:tblW w:w="0" w:type="auto"/>
        <w:tblCellSpacing w:w="0" w:type="dxa"/>
        <w:tblCellMar>
          <w:left w:w="0" w:type="dxa"/>
          <w:right w:w="0" w:type="dxa"/>
        </w:tblCellMar>
        <w:tblLook w:val="04A0"/>
      </w:tblPr>
      <w:tblGrid>
        <w:gridCol w:w="5805"/>
        <w:gridCol w:w="3601"/>
      </w:tblGrid>
      <w:tr w:rsidR="00D92655" w:rsidRPr="00D92655" w:rsidTr="00D92655">
        <w:trPr>
          <w:gridAfter w:val="1"/>
          <w:tblHeader/>
          <w:tblCellSpacing w:w="0" w:type="dxa"/>
        </w:trPr>
        <w:tc>
          <w:tcPr>
            <w:tcW w:w="0" w:type="auto"/>
            <w:vAlign w:val="center"/>
            <w:hideMark/>
          </w:tcPr>
          <w:p w:rsidR="00D92655" w:rsidRPr="00D92655" w:rsidRDefault="00D92655" w:rsidP="00D92655">
            <w:pPr>
              <w:spacing w:after="0" w:line="240" w:lineRule="auto"/>
              <w:rPr>
                <w:rFonts w:ascii="Times New Roman" w:eastAsia="Times New Roman" w:hAnsi="Times New Roman" w:cs="Times New Roman"/>
                <w:noProof/>
                <w:sz w:val="24"/>
                <w:szCs w:val="24"/>
              </w:rPr>
            </w:pPr>
          </w:p>
        </w:tc>
      </w:tr>
      <w:tr w:rsidR="00D92655" w:rsidRPr="00D92655" w:rsidTr="00D92655">
        <w:trPr>
          <w:tblCellSpacing w:w="0" w:type="dxa"/>
        </w:trPr>
        <w:tc>
          <w:tcPr>
            <w:tcW w:w="0" w:type="auto"/>
            <w:gridSpan w:val="2"/>
            <w:noWrap/>
            <w:tcMar>
              <w:top w:w="240" w:type="dxa"/>
              <w:left w:w="0" w:type="dxa"/>
              <w:bottom w:w="0" w:type="dxa"/>
              <w:right w:w="0" w:type="dxa"/>
            </w:tcMar>
            <w:vAlign w:val="center"/>
            <w:hideMark/>
          </w:tcPr>
          <w:p w:rsidR="00D92655" w:rsidRPr="00D92655" w:rsidRDefault="00D92655" w:rsidP="00D92655">
            <w:pPr>
              <w:spacing w:after="0" w:line="336" w:lineRule="atLeast"/>
              <w:rPr>
                <w:rFonts w:ascii="Arial" w:eastAsia="Times New Roman" w:hAnsi="Arial" w:cs="Arial"/>
                <w:b/>
                <w:bCs/>
                <w:noProof/>
                <w:sz w:val="24"/>
                <w:szCs w:val="24"/>
              </w:rPr>
            </w:pPr>
            <w:r w:rsidRPr="00D92655">
              <w:rPr>
                <w:rFonts w:ascii="Arial" w:eastAsia="Times New Roman" w:hAnsi="Arial" w:cs="Arial"/>
                <w:b/>
                <w:bCs/>
                <w:noProof/>
                <w:sz w:val="24"/>
                <w:szCs w:val="24"/>
              </w:rPr>
              <w:t>Canada, Manitoba</w:t>
            </w:r>
          </w:p>
        </w:tc>
      </w:tr>
      <w:tr w:rsidR="00D92655" w:rsidRPr="00D92655" w:rsidTr="00D92655">
        <w:trPr>
          <w:tblCellSpacing w:w="0" w:type="dxa"/>
        </w:trPr>
        <w:tc>
          <w:tcPr>
            <w:tcW w:w="0" w:type="auto"/>
            <w:noWrap/>
            <w:tcMar>
              <w:top w:w="120" w:type="dxa"/>
              <w:left w:w="480" w:type="dxa"/>
              <w:bottom w:w="0" w:type="dxa"/>
              <w:right w:w="240" w:type="dxa"/>
            </w:tcMar>
            <w:vAlign w:val="center"/>
            <w:hideMark/>
          </w:tcPr>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lastRenderedPageBreak/>
              <w:t>Health Sciences Centre</w:t>
            </w:r>
          </w:p>
        </w:tc>
        <w:tc>
          <w:tcPr>
            <w:tcW w:w="0" w:type="auto"/>
            <w:noWrap/>
            <w:tcMar>
              <w:top w:w="120" w:type="dxa"/>
              <w:left w:w="480" w:type="dxa"/>
              <w:bottom w:w="0" w:type="dxa"/>
              <w:right w:w="0" w:type="dxa"/>
            </w:tcMar>
            <w:vAlign w:val="center"/>
            <w:hideMark/>
          </w:tcPr>
          <w:p w:rsidR="00D92655" w:rsidRPr="00D92655" w:rsidRDefault="00D92655" w:rsidP="00D92655">
            <w:pPr>
              <w:spacing w:after="0" w:line="336" w:lineRule="atLeast"/>
              <w:rPr>
                <w:rFonts w:ascii="Arial" w:eastAsia="Times New Roman" w:hAnsi="Arial" w:cs="Arial"/>
                <w:b/>
                <w:bCs/>
                <w:noProof/>
                <w:sz w:val="24"/>
                <w:szCs w:val="24"/>
              </w:rPr>
            </w:pPr>
            <w:r w:rsidRPr="00D92655">
              <w:rPr>
                <w:rFonts w:ascii="Arial" w:eastAsia="Times New Roman" w:hAnsi="Arial" w:cs="Arial"/>
                <w:b/>
                <w:bCs/>
                <w:noProof/>
                <w:sz w:val="24"/>
                <w:szCs w:val="24"/>
              </w:rPr>
              <w:t>Not yet recruiting</w:t>
            </w:r>
          </w:p>
        </w:tc>
      </w:tr>
      <w:tr w:rsidR="00D92655" w:rsidRPr="00D92655" w:rsidTr="00D92655">
        <w:trPr>
          <w:tblCellSpacing w:w="0" w:type="dxa"/>
        </w:trPr>
        <w:tc>
          <w:tcPr>
            <w:tcW w:w="0" w:type="auto"/>
            <w:gridSpan w:val="2"/>
            <w:noWrap/>
            <w:tcMar>
              <w:top w:w="0" w:type="dxa"/>
              <w:left w:w="960" w:type="dxa"/>
              <w:bottom w:w="0" w:type="dxa"/>
              <w:right w:w="0" w:type="dxa"/>
            </w:tcMar>
            <w:vAlign w:val="center"/>
            <w:hideMark/>
          </w:tcPr>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Winnipeg, Manitoba, Canada, R3A 1R9</w:t>
            </w:r>
          </w:p>
        </w:tc>
      </w:tr>
      <w:tr w:rsidR="00D92655" w:rsidRPr="00D92655" w:rsidTr="00D92655">
        <w:trPr>
          <w:tblCellSpacing w:w="0" w:type="dxa"/>
        </w:trPr>
        <w:tc>
          <w:tcPr>
            <w:tcW w:w="0" w:type="auto"/>
            <w:gridSpan w:val="2"/>
            <w:tcMar>
              <w:top w:w="0" w:type="dxa"/>
              <w:left w:w="960" w:type="dxa"/>
              <w:bottom w:w="0" w:type="dxa"/>
              <w:right w:w="0" w:type="dxa"/>
            </w:tcMar>
            <w:vAlign w:val="center"/>
            <w:hideMark/>
          </w:tcPr>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Contact: James J. Marriott, MD MSc FRCPC    204-787-4951   </w:t>
            </w:r>
            <w:r w:rsidRPr="00D92655">
              <w:rPr>
                <w:rFonts w:ascii="Arial" w:eastAsia="Times New Roman" w:hAnsi="Arial" w:cs="Arial"/>
                <w:noProof/>
                <w:sz w:val="21"/>
              </w:rPr>
              <w:t> </w:t>
            </w:r>
            <w:hyperlink r:id="rId35" w:history="1">
              <w:r w:rsidRPr="00D92655">
                <w:rPr>
                  <w:rFonts w:ascii="Arial" w:eastAsia="Times New Roman" w:hAnsi="Arial" w:cs="Arial"/>
                  <w:noProof/>
                  <w:color w:val="1A3D85"/>
                  <w:sz w:val="21"/>
                </w:rPr>
                <w:t>jmarriott@exchange.hsc.mb.ca</w:t>
              </w:r>
            </w:hyperlink>
            <w:r w:rsidRPr="00D92655">
              <w:rPr>
                <w:rFonts w:ascii="Arial" w:eastAsia="Times New Roman" w:hAnsi="Arial" w:cs="Arial"/>
                <w:noProof/>
                <w:sz w:val="21"/>
              </w:rPr>
              <w:t> </w:t>
            </w:r>
            <w:r w:rsidRPr="00D92655">
              <w:rPr>
                <w:rFonts w:ascii="Arial" w:eastAsia="Times New Roman" w:hAnsi="Arial" w:cs="Arial"/>
                <w:noProof/>
                <w:sz w:val="21"/>
                <w:szCs w:val="21"/>
              </w:rPr>
              <w:t>  </w:t>
            </w:r>
          </w:p>
        </w:tc>
      </w:tr>
      <w:tr w:rsidR="00D92655" w:rsidRPr="00D92655" w:rsidTr="00D92655">
        <w:trPr>
          <w:tblCellSpacing w:w="0" w:type="dxa"/>
        </w:trPr>
        <w:tc>
          <w:tcPr>
            <w:tcW w:w="0" w:type="auto"/>
            <w:gridSpan w:val="2"/>
            <w:tcMar>
              <w:top w:w="0" w:type="dxa"/>
              <w:left w:w="960" w:type="dxa"/>
              <w:bottom w:w="0" w:type="dxa"/>
              <w:right w:w="0" w:type="dxa"/>
            </w:tcMar>
            <w:vAlign w:val="center"/>
            <w:hideMark/>
          </w:tcPr>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Contact: Barbara Stanger, RN    204-787-2905   </w:t>
            </w:r>
            <w:r w:rsidRPr="00D92655">
              <w:rPr>
                <w:rFonts w:ascii="Arial" w:eastAsia="Times New Roman" w:hAnsi="Arial" w:cs="Arial"/>
                <w:noProof/>
                <w:sz w:val="21"/>
              </w:rPr>
              <w:t> </w:t>
            </w:r>
            <w:hyperlink r:id="rId36" w:history="1">
              <w:r w:rsidRPr="00D92655">
                <w:rPr>
                  <w:rFonts w:ascii="Arial" w:eastAsia="Times New Roman" w:hAnsi="Arial" w:cs="Arial"/>
                  <w:noProof/>
                  <w:color w:val="1A3D85"/>
                  <w:sz w:val="21"/>
                </w:rPr>
                <w:t>bstanger@hsc.mb.ca</w:t>
              </w:r>
            </w:hyperlink>
            <w:r w:rsidRPr="00D92655">
              <w:rPr>
                <w:rFonts w:ascii="Arial" w:eastAsia="Times New Roman" w:hAnsi="Arial" w:cs="Arial"/>
                <w:noProof/>
                <w:sz w:val="21"/>
              </w:rPr>
              <w:t> </w:t>
            </w:r>
            <w:r w:rsidRPr="00D92655">
              <w:rPr>
                <w:rFonts w:ascii="Arial" w:eastAsia="Times New Roman" w:hAnsi="Arial" w:cs="Arial"/>
                <w:noProof/>
                <w:sz w:val="21"/>
                <w:szCs w:val="21"/>
              </w:rPr>
              <w:t>  </w:t>
            </w:r>
          </w:p>
        </w:tc>
      </w:tr>
      <w:tr w:rsidR="00D92655" w:rsidRPr="00D92655" w:rsidTr="00D92655">
        <w:trPr>
          <w:tblCellSpacing w:w="0" w:type="dxa"/>
        </w:trPr>
        <w:tc>
          <w:tcPr>
            <w:tcW w:w="0" w:type="auto"/>
            <w:gridSpan w:val="2"/>
            <w:tcMar>
              <w:top w:w="0" w:type="dxa"/>
              <w:left w:w="960" w:type="dxa"/>
              <w:bottom w:w="0" w:type="dxa"/>
              <w:right w:w="0" w:type="dxa"/>
            </w:tcMar>
            <w:vAlign w:val="center"/>
            <w:hideMark/>
          </w:tcPr>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Principal Investigator: James J. Marriott, MD MSc FRCPC         </w:t>
            </w:r>
          </w:p>
        </w:tc>
      </w:tr>
      <w:tr w:rsidR="00D92655" w:rsidRPr="00D92655" w:rsidTr="00D92655">
        <w:trPr>
          <w:tblCellSpacing w:w="0" w:type="dxa"/>
        </w:trPr>
        <w:tc>
          <w:tcPr>
            <w:tcW w:w="0" w:type="auto"/>
            <w:gridSpan w:val="2"/>
            <w:noWrap/>
            <w:tcMar>
              <w:top w:w="240" w:type="dxa"/>
              <w:left w:w="0" w:type="dxa"/>
              <w:bottom w:w="0" w:type="dxa"/>
              <w:right w:w="0" w:type="dxa"/>
            </w:tcMar>
            <w:vAlign w:val="center"/>
            <w:hideMark/>
          </w:tcPr>
          <w:p w:rsidR="00D92655" w:rsidRPr="00D92655" w:rsidRDefault="00D92655" w:rsidP="00D92655">
            <w:pPr>
              <w:spacing w:after="0" w:line="336" w:lineRule="atLeast"/>
              <w:rPr>
                <w:rFonts w:ascii="Arial" w:eastAsia="Times New Roman" w:hAnsi="Arial" w:cs="Arial"/>
                <w:b/>
                <w:bCs/>
                <w:noProof/>
                <w:sz w:val="24"/>
                <w:szCs w:val="24"/>
              </w:rPr>
            </w:pPr>
            <w:r w:rsidRPr="00D92655">
              <w:rPr>
                <w:rFonts w:ascii="Arial" w:eastAsia="Times New Roman" w:hAnsi="Arial" w:cs="Arial"/>
                <w:b/>
                <w:bCs/>
                <w:noProof/>
                <w:sz w:val="24"/>
                <w:szCs w:val="24"/>
              </w:rPr>
              <w:t>Canada, Ontario</w:t>
            </w:r>
          </w:p>
        </w:tc>
      </w:tr>
      <w:tr w:rsidR="00D92655" w:rsidRPr="00D92655" w:rsidTr="00D92655">
        <w:trPr>
          <w:tblCellSpacing w:w="0" w:type="dxa"/>
        </w:trPr>
        <w:tc>
          <w:tcPr>
            <w:tcW w:w="0" w:type="auto"/>
            <w:noWrap/>
            <w:tcMar>
              <w:top w:w="120" w:type="dxa"/>
              <w:left w:w="480" w:type="dxa"/>
              <w:bottom w:w="0" w:type="dxa"/>
              <w:right w:w="240" w:type="dxa"/>
            </w:tcMar>
            <w:vAlign w:val="center"/>
            <w:hideMark/>
          </w:tcPr>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Ottawa Hospital - General Campus</w:t>
            </w:r>
          </w:p>
        </w:tc>
        <w:tc>
          <w:tcPr>
            <w:tcW w:w="0" w:type="auto"/>
            <w:noWrap/>
            <w:tcMar>
              <w:top w:w="120" w:type="dxa"/>
              <w:left w:w="480" w:type="dxa"/>
              <w:bottom w:w="0" w:type="dxa"/>
              <w:right w:w="0" w:type="dxa"/>
            </w:tcMar>
            <w:vAlign w:val="center"/>
            <w:hideMark/>
          </w:tcPr>
          <w:p w:rsidR="00D92655" w:rsidRPr="00D92655" w:rsidRDefault="00D92655" w:rsidP="00D92655">
            <w:pPr>
              <w:spacing w:after="0" w:line="336" w:lineRule="atLeast"/>
              <w:rPr>
                <w:rFonts w:ascii="Arial" w:eastAsia="Times New Roman" w:hAnsi="Arial" w:cs="Arial"/>
                <w:b/>
                <w:bCs/>
                <w:noProof/>
                <w:sz w:val="24"/>
                <w:szCs w:val="24"/>
              </w:rPr>
            </w:pPr>
            <w:r w:rsidRPr="00D92655">
              <w:rPr>
                <w:rFonts w:ascii="Arial" w:eastAsia="Times New Roman" w:hAnsi="Arial" w:cs="Arial"/>
                <w:b/>
                <w:bCs/>
                <w:noProof/>
                <w:sz w:val="24"/>
                <w:szCs w:val="24"/>
              </w:rPr>
              <w:t>Not yet recruiting</w:t>
            </w:r>
          </w:p>
        </w:tc>
      </w:tr>
      <w:tr w:rsidR="00D92655" w:rsidRPr="00D92655" w:rsidTr="00D92655">
        <w:trPr>
          <w:tblCellSpacing w:w="0" w:type="dxa"/>
        </w:trPr>
        <w:tc>
          <w:tcPr>
            <w:tcW w:w="0" w:type="auto"/>
            <w:gridSpan w:val="2"/>
            <w:noWrap/>
            <w:tcMar>
              <w:top w:w="0" w:type="dxa"/>
              <w:left w:w="960" w:type="dxa"/>
              <w:bottom w:w="0" w:type="dxa"/>
              <w:right w:w="0" w:type="dxa"/>
            </w:tcMar>
            <w:vAlign w:val="center"/>
            <w:hideMark/>
          </w:tcPr>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Ottawa, Ontario, Canada, K1H 8L6</w:t>
            </w:r>
          </w:p>
        </w:tc>
      </w:tr>
      <w:tr w:rsidR="00D92655" w:rsidRPr="00D92655" w:rsidTr="00D92655">
        <w:trPr>
          <w:tblCellSpacing w:w="0" w:type="dxa"/>
        </w:trPr>
        <w:tc>
          <w:tcPr>
            <w:tcW w:w="0" w:type="auto"/>
            <w:gridSpan w:val="2"/>
            <w:tcMar>
              <w:top w:w="0" w:type="dxa"/>
              <w:left w:w="960" w:type="dxa"/>
              <w:bottom w:w="0" w:type="dxa"/>
              <w:right w:w="0" w:type="dxa"/>
            </w:tcMar>
            <w:vAlign w:val="center"/>
            <w:hideMark/>
          </w:tcPr>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Contact: Catherine Hilliker, RN    613-737-8104 ext 7   </w:t>
            </w:r>
            <w:r w:rsidRPr="00D92655">
              <w:rPr>
                <w:rFonts w:ascii="Arial" w:eastAsia="Times New Roman" w:hAnsi="Arial" w:cs="Arial"/>
                <w:noProof/>
                <w:sz w:val="21"/>
              </w:rPr>
              <w:t> </w:t>
            </w:r>
            <w:hyperlink r:id="rId37" w:history="1">
              <w:r w:rsidRPr="00D92655">
                <w:rPr>
                  <w:rFonts w:ascii="Arial" w:eastAsia="Times New Roman" w:hAnsi="Arial" w:cs="Arial"/>
                  <w:noProof/>
                  <w:color w:val="1A3D85"/>
                  <w:sz w:val="21"/>
                </w:rPr>
                <w:t>MESCAMS@ohri.ca</w:t>
              </w:r>
            </w:hyperlink>
            <w:r w:rsidRPr="00D92655">
              <w:rPr>
                <w:rFonts w:ascii="Arial" w:eastAsia="Times New Roman" w:hAnsi="Arial" w:cs="Arial"/>
                <w:noProof/>
                <w:sz w:val="21"/>
              </w:rPr>
              <w:t> </w:t>
            </w:r>
            <w:r w:rsidRPr="00D92655">
              <w:rPr>
                <w:rFonts w:ascii="Arial" w:eastAsia="Times New Roman" w:hAnsi="Arial" w:cs="Arial"/>
                <w:noProof/>
                <w:sz w:val="21"/>
                <w:szCs w:val="21"/>
              </w:rPr>
              <w:t>  </w:t>
            </w:r>
          </w:p>
        </w:tc>
      </w:tr>
      <w:tr w:rsidR="00D92655" w:rsidRPr="00D92655" w:rsidTr="00D92655">
        <w:trPr>
          <w:tblCellSpacing w:w="0" w:type="dxa"/>
        </w:trPr>
        <w:tc>
          <w:tcPr>
            <w:tcW w:w="0" w:type="auto"/>
            <w:gridSpan w:val="2"/>
            <w:tcMar>
              <w:top w:w="0" w:type="dxa"/>
              <w:left w:w="960" w:type="dxa"/>
              <w:bottom w:w="0" w:type="dxa"/>
              <w:right w:w="0" w:type="dxa"/>
            </w:tcMar>
            <w:vAlign w:val="center"/>
            <w:hideMark/>
          </w:tcPr>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Principal Investigator: Mark S. Freedman, MD MSc FRCPC         </w:t>
            </w:r>
          </w:p>
        </w:tc>
      </w:tr>
    </w:tbl>
    <w:p w:rsidR="00D92655" w:rsidRPr="00D92655" w:rsidRDefault="00D92655" w:rsidP="00D92655">
      <w:pPr>
        <w:shd w:val="clear" w:color="auto" w:fill="FFFFFF"/>
        <w:spacing w:after="0" w:line="336" w:lineRule="atLeast"/>
        <w:rPr>
          <w:rFonts w:ascii="Arial" w:eastAsia="Times New Roman" w:hAnsi="Arial" w:cs="Arial"/>
          <w:b/>
          <w:bCs/>
          <w:noProof/>
          <w:color w:val="000000"/>
          <w:sz w:val="24"/>
          <w:szCs w:val="24"/>
        </w:rPr>
      </w:pPr>
      <w:r w:rsidRPr="00D92655">
        <w:rPr>
          <w:rFonts w:ascii="Arial" w:eastAsia="Times New Roman" w:hAnsi="Arial" w:cs="Arial"/>
          <w:b/>
          <w:bCs/>
          <w:noProof/>
          <w:color w:val="000000"/>
          <w:sz w:val="24"/>
          <w:szCs w:val="24"/>
        </w:rPr>
        <w:t>Sponsors and Collaborators</w:t>
      </w:r>
    </w:p>
    <w:p w:rsidR="00D92655" w:rsidRPr="00D92655" w:rsidRDefault="00D92655" w:rsidP="00D92655">
      <w:pPr>
        <w:shd w:val="clear" w:color="auto" w:fill="FFFFFF"/>
        <w:spacing w:after="0" w:line="336" w:lineRule="atLeast"/>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t>Ottawa Hospital Research Institute</w:t>
      </w:r>
    </w:p>
    <w:p w:rsidR="00D92655" w:rsidRPr="00D92655" w:rsidRDefault="00D92655" w:rsidP="00D92655">
      <w:pPr>
        <w:shd w:val="clear" w:color="auto" w:fill="FFFFFF"/>
        <w:spacing w:after="0" w:line="336" w:lineRule="atLeast"/>
        <w:rPr>
          <w:rFonts w:ascii="Arial" w:eastAsia="Times New Roman" w:hAnsi="Arial" w:cs="Arial"/>
          <w:b/>
          <w:bCs/>
          <w:noProof/>
          <w:color w:val="000000"/>
          <w:sz w:val="24"/>
          <w:szCs w:val="24"/>
        </w:rPr>
      </w:pPr>
      <w:r w:rsidRPr="00D92655">
        <w:rPr>
          <w:rFonts w:ascii="Arial" w:eastAsia="Times New Roman" w:hAnsi="Arial" w:cs="Arial"/>
          <w:b/>
          <w:bCs/>
          <w:noProof/>
          <w:color w:val="000000"/>
          <w:sz w:val="24"/>
          <w:szCs w:val="24"/>
        </w:rPr>
        <w:t>Investigators</w:t>
      </w:r>
    </w:p>
    <w:tbl>
      <w:tblPr>
        <w:tblW w:w="0" w:type="auto"/>
        <w:tblCellSpacing w:w="0" w:type="dxa"/>
        <w:tblCellMar>
          <w:left w:w="0" w:type="dxa"/>
          <w:right w:w="0" w:type="dxa"/>
        </w:tblCellMar>
        <w:tblLook w:val="04A0"/>
      </w:tblPr>
      <w:tblGrid>
        <w:gridCol w:w="2247"/>
        <w:gridCol w:w="3681"/>
        <w:gridCol w:w="3472"/>
        <w:gridCol w:w="6"/>
      </w:tblGrid>
      <w:tr w:rsidR="00D92655" w:rsidRPr="00D92655" w:rsidTr="00D92655">
        <w:trPr>
          <w:gridAfter w:val="3"/>
          <w:tblHeader/>
          <w:tblCellSpacing w:w="0" w:type="dxa"/>
        </w:trPr>
        <w:tc>
          <w:tcPr>
            <w:tcW w:w="0" w:type="auto"/>
            <w:vAlign w:val="center"/>
            <w:hideMark/>
          </w:tcPr>
          <w:p w:rsidR="00D92655" w:rsidRPr="00D92655" w:rsidRDefault="00D92655" w:rsidP="00D92655">
            <w:pPr>
              <w:spacing w:after="0" w:line="240" w:lineRule="auto"/>
              <w:rPr>
                <w:rFonts w:ascii="Times New Roman" w:eastAsia="Times New Roman" w:hAnsi="Times New Roman" w:cs="Times New Roman"/>
                <w:noProof/>
                <w:sz w:val="24"/>
                <w:szCs w:val="24"/>
              </w:rPr>
            </w:pPr>
          </w:p>
        </w:tc>
      </w:tr>
      <w:tr w:rsidR="00D92655" w:rsidRPr="00D92655" w:rsidTr="00D92655">
        <w:trPr>
          <w:tblCellSpacing w:w="0" w:type="dxa"/>
        </w:trPr>
        <w:tc>
          <w:tcPr>
            <w:tcW w:w="0" w:type="auto"/>
            <w:noWrap/>
            <w:tcMar>
              <w:top w:w="120" w:type="dxa"/>
              <w:left w:w="0" w:type="dxa"/>
              <w:bottom w:w="0" w:type="dxa"/>
              <w:right w:w="240" w:type="dxa"/>
            </w:tcMar>
            <w:vAlign w:val="center"/>
            <w:hideMark/>
          </w:tcPr>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Principal Investigator:</w:t>
            </w:r>
          </w:p>
        </w:tc>
        <w:tc>
          <w:tcPr>
            <w:tcW w:w="0" w:type="auto"/>
            <w:noWrap/>
            <w:tcMar>
              <w:top w:w="120" w:type="dxa"/>
              <w:left w:w="0" w:type="dxa"/>
              <w:bottom w:w="0" w:type="dxa"/>
              <w:right w:w="240" w:type="dxa"/>
            </w:tcMar>
            <w:vAlign w:val="center"/>
            <w:hideMark/>
          </w:tcPr>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Mark S. Freedman, MSc MD FRCPC</w:t>
            </w:r>
          </w:p>
        </w:tc>
        <w:tc>
          <w:tcPr>
            <w:tcW w:w="0" w:type="auto"/>
            <w:noWrap/>
            <w:tcMar>
              <w:top w:w="120" w:type="dxa"/>
              <w:left w:w="0" w:type="dxa"/>
              <w:bottom w:w="0" w:type="dxa"/>
              <w:right w:w="240" w:type="dxa"/>
            </w:tcMar>
            <w:vAlign w:val="center"/>
            <w:hideMark/>
          </w:tcPr>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Ottawa Hospital Research Institute</w:t>
            </w:r>
          </w:p>
        </w:tc>
        <w:tc>
          <w:tcPr>
            <w:tcW w:w="0" w:type="auto"/>
            <w:vAlign w:val="center"/>
            <w:hideMark/>
          </w:tcPr>
          <w:p w:rsidR="00D92655" w:rsidRPr="00D92655" w:rsidRDefault="00D92655" w:rsidP="00D92655">
            <w:pPr>
              <w:spacing w:after="0" w:line="336" w:lineRule="atLeast"/>
              <w:rPr>
                <w:rFonts w:ascii="Arial" w:eastAsia="Times New Roman" w:hAnsi="Arial" w:cs="Arial"/>
                <w:noProof/>
                <w:sz w:val="21"/>
                <w:szCs w:val="21"/>
              </w:rPr>
            </w:pPr>
          </w:p>
        </w:tc>
      </w:tr>
    </w:tbl>
    <w:p w:rsidR="00D92655" w:rsidRPr="00D92655" w:rsidRDefault="00D92655" w:rsidP="00D92655">
      <w:pPr>
        <w:shd w:val="clear" w:color="auto" w:fill="FFFFFF"/>
        <w:spacing w:after="0" w:line="294" w:lineRule="atLeast"/>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drawing>
          <wp:inline distT="0" distB="0" distL="0" distR="0">
            <wp:extent cx="152400" cy="142875"/>
            <wp:effectExtent l="19050" t="0" r="0" b="0"/>
            <wp:docPr id="4" name="Picture 4" descr="https://clinicaltrials.gov/ct2/html/images/frame/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linicaltrials.gov/ct2/html/images/frame/triangle.gif"/>
                    <pic:cNvPicPr>
                      <a:picLocks noChangeAspect="1" noChangeArrowheads="1"/>
                    </pic:cNvPicPr>
                  </pic:nvPicPr>
                  <pic:blipFill>
                    <a:blip r:embed="rId22"/>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D92655">
        <w:rPr>
          <w:rFonts w:ascii="Arial" w:eastAsia="Times New Roman" w:hAnsi="Arial" w:cs="Arial"/>
          <w:b/>
          <w:bCs/>
          <w:noProof/>
          <w:color w:val="000000"/>
          <w:sz w:val="27"/>
        </w:rPr>
        <w:t>  More Information</w:t>
      </w:r>
    </w:p>
    <w:p w:rsidR="00D92655" w:rsidRPr="00D92655" w:rsidRDefault="00D92655" w:rsidP="00D92655">
      <w:pPr>
        <w:shd w:val="clear" w:color="auto" w:fill="FFFFFF"/>
        <w:spacing w:after="240" w:line="336" w:lineRule="atLeast"/>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br/>
        <w:t>No publications provided</w:t>
      </w:r>
      <w:r w:rsidRPr="00D92655">
        <w:rPr>
          <w:rFonts w:ascii="Arial" w:eastAsia="Times New Roman" w:hAnsi="Arial" w:cs="Arial"/>
          <w:noProof/>
          <w:color w:val="000000"/>
          <w:sz w:val="21"/>
        </w:rPr>
        <w:t> </w:t>
      </w:r>
    </w:p>
    <w:tbl>
      <w:tblPr>
        <w:tblW w:w="0" w:type="auto"/>
        <w:tblCellSpacing w:w="0" w:type="dxa"/>
        <w:tblCellMar>
          <w:left w:w="0" w:type="dxa"/>
          <w:right w:w="0" w:type="dxa"/>
        </w:tblCellMar>
        <w:tblLook w:val="04A0"/>
      </w:tblPr>
      <w:tblGrid>
        <w:gridCol w:w="2510"/>
        <w:gridCol w:w="3684"/>
      </w:tblGrid>
      <w:tr w:rsidR="00D92655" w:rsidRPr="00D92655" w:rsidTr="00D92655">
        <w:trPr>
          <w:gridAfter w:val="1"/>
          <w:tblHeader/>
          <w:tblCellSpacing w:w="0" w:type="dxa"/>
        </w:trPr>
        <w:tc>
          <w:tcPr>
            <w:tcW w:w="0" w:type="auto"/>
            <w:vAlign w:val="center"/>
            <w:hideMark/>
          </w:tcPr>
          <w:p w:rsidR="00D92655" w:rsidRPr="00D92655" w:rsidRDefault="00D92655" w:rsidP="00D92655">
            <w:pPr>
              <w:spacing w:before="120" w:after="0" w:line="240" w:lineRule="auto"/>
              <w:rPr>
                <w:rFonts w:ascii="Times New Roman" w:eastAsia="Times New Roman" w:hAnsi="Times New Roman" w:cs="Times New Roman"/>
                <w:noProof/>
                <w:sz w:val="24"/>
                <w:szCs w:val="24"/>
              </w:rPr>
            </w:pPr>
          </w:p>
        </w:tc>
      </w:tr>
      <w:tr w:rsidR="00D92655" w:rsidRPr="00D92655" w:rsidTr="00D92655">
        <w:trPr>
          <w:tblCellSpacing w:w="0" w:type="dxa"/>
        </w:trPr>
        <w:tc>
          <w:tcPr>
            <w:tcW w:w="0" w:type="auto"/>
            <w:noWrap/>
            <w:hideMark/>
          </w:tcPr>
          <w:p w:rsidR="00D92655" w:rsidRPr="00D92655" w:rsidRDefault="00D92655" w:rsidP="00D92655">
            <w:pPr>
              <w:spacing w:before="120"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Responsible Party:</w:t>
            </w:r>
          </w:p>
        </w:tc>
        <w:tc>
          <w:tcPr>
            <w:tcW w:w="0" w:type="auto"/>
            <w:tcMar>
              <w:top w:w="0" w:type="dxa"/>
              <w:left w:w="240" w:type="dxa"/>
              <w:bottom w:w="0" w:type="dxa"/>
              <w:right w:w="0" w:type="dxa"/>
            </w:tcMar>
            <w:hideMark/>
          </w:tcPr>
          <w:p w:rsidR="00D92655" w:rsidRPr="00D92655" w:rsidRDefault="00D92655" w:rsidP="00D92655">
            <w:pPr>
              <w:spacing w:before="120"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Ottawa Hospital Research Institute</w:t>
            </w:r>
          </w:p>
        </w:tc>
      </w:tr>
      <w:tr w:rsidR="00D92655" w:rsidRPr="00D92655" w:rsidTr="00D92655">
        <w:trPr>
          <w:tblCellSpacing w:w="0" w:type="dxa"/>
        </w:trPr>
        <w:tc>
          <w:tcPr>
            <w:tcW w:w="0" w:type="auto"/>
            <w:noWrap/>
            <w:hideMark/>
          </w:tcPr>
          <w:p w:rsidR="00D92655" w:rsidRPr="00D92655" w:rsidRDefault="00D92655" w:rsidP="00D92655">
            <w:pPr>
              <w:spacing w:before="120"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ClinicalTrials.gov Identifier:</w:t>
            </w:r>
          </w:p>
        </w:tc>
        <w:tc>
          <w:tcPr>
            <w:tcW w:w="0" w:type="auto"/>
            <w:tcMar>
              <w:top w:w="0" w:type="dxa"/>
              <w:left w:w="240" w:type="dxa"/>
              <w:bottom w:w="0" w:type="dxa"/>
              <w:right w:w="0" w:type="dxa"/>
            </w:tcMar>
            <w:hideMark/>
          </w:tcPr>
          <w:p w:rsidR="00D92655" w:rsidRPr="00D92655" w:rsidRDefault="000562FF" w:rsidP="00D92655">
            <w:pPr>
              <w:spacing w:before="120" w:after="0" w:line="336" w:lineRule="atLeast"/>
              <w:rPr>
                <w:rFonts w:ascii="Arial" w:eastAsia="Times New Roman" w:hAnsi="Arial" w:cs="Arial"/>
                <w:noProof/>
                <w:sz w:val="21"/>
                <w:szCs w:val="21"/>
              </w:rPr>
            </w:pPr>
            <w:hyperlink r:id="rId38" w:tooltip="Current version of study NCT02239393 on ClinicalTrials.gov" w:history="1">
              <w:r w:rsidR="00D92655" w:rsidRPr="00D92655">
                <w:rPr>
                  <w:rFonts w:ascii="Arial" w:eastAsia="Times New Roman" w:hAnsi="Arial" w:cs="Arial"/>
                  <w:noProof/>
                  <w:color w:val="1A3D85"/>
                  <w:sz w:val="21"/>
                </w:rPr>
                <w:t>NCT02239393</w:t>
              </w:r>
            </w:hyperlink>
            <w:r w:rsidR="00D92655" w:rsidRPr="00D92655">
              <w:rPr>
                <w:rFonts w:ascii="Arial" w:eastAsia="Times New Roman" w:hAnsi="Arial" w:cs="Arial"/>
                <w:noProof/>
                <w:sz w:val="21"/>
              </w:rPr>
              <w:t> </w:t>
            </w:r>
            <w:r w:rsidR="00D92655" w:rsidRPr="00D92655">
              <w:rPr>
                <w:rFonts w:ascii="Arial" w:eastAsia="Times New Roman" w:hAnsi="Arial" w:cs="Arial"/>
                <w:noProof/>
                <w:sz w:val="21"/>
                <w:szCs w:val="21"/>
              </w:rPr>
              <w:t>   </w:t>
            </w:r>
            <w:r w:rsidR="00D92655" w:rsidRPr="00D92655">
              <w:rPr>
                <w:rFonts w:ascii="Arial" w:eastAsia="Times New Roman" w:hAnsi="Arial" w:cs="Arial"/>
                <w:noProof/>
                <w:sz w:val="21"/>
              </w:rPr>
              <w:t> </w:t>
            </w:r>
            <w:hyperlink r:id="rId39" w:tooltip="Historical versions of study NCT02239393 on ClinicalTrials.gov Archive Site" w:history="1">
              <w:r w:rsidR="00D92655" w:rsidRPr="00D92655">
                <w:rPr>
                  <w:rFonts w:ascii="Arial" w:eastAsia="Times New Roman" w:hAnsi="Arial" w:cs="Arial"/>
                  <w:noProof/>
                  <w:color w:val="1A3D85"/>
                  <w:sz w:val="21"/>
                </w:rPr>
                <w:t>History of Changes</w:t>
              </w:r>
            </w:hyperlink>
          </w:p>
        </w:tc>
      </w:tr>
      <w:tr w:rsidR="00D92655" w:rsidRPr="00D92655" w:rsidTr="00D92655">
        <w:trPr>
          <w:tblCellSpacing w:w="0" w:type="dxa"/>
        </w:trPr>
        <w:tc>
          <w:tcPr>
            <w:tcW w:w="0" w:type="auto"/>
            <w:noWrap/>
            <w:hideMark/>
          </w:tcPr>
          <w:p w:rsidR="00D92655" w:rsidRPr="00D92655" w:rsidRDefault="00D92655" w:rsidP="00D92655">
            <w:pPr>
              <w:spacing w:before="120"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Other Study ID Numbers:</w:t>
            </w:r>
          </w:p>
        </w:tc>
        <w:tc>
          <w:tcPr>
            <w:tcW w:w="0" w:type="auto"/>
            <w:tcMar>
              <w:top w:w="0" w:type="dxa"/>
              <w:left w:w="240" w:type="dxa"/>
              <w:bottom w:w="0" w:type="dxa"/>
              <w:right w:w="0" w:type="dxa"/>
            </w:tcMar>
            <w:hideMark/>
          </w:tcPr>
          <w:p w:rsidR="00D92655" w:rsidRPr="00D92655" w:rsidRDefault="00D92655" w:rsidP="00D92655">
            <w:pPr>
              <w:spacing w:before="120"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20140368</w:t>
            </w:r>
          </w:p>
        </w:tc>
      </w:tr>
      <w:tr w:rsidR="00D92655" w:rsidRPr="00D92655" w:rsidTr="00D92655">
        <w:trPr>
          <w:tblCellSpacing w:w="0" w:type="dxa"/>
        </w:trPr>
        <w:tc>
          <w:tcPr>
            <w:tcW w:w="0" w:type="auto"/>
            <w:noWrap/>
            <w:hideMark/>
          </w:tcPr>
          <w:p w:rsidR="00D92655" w:rsidRPr="00D92655" w:rsidRDefault="00D92655" w:rsidP="00D92655">
            <w:pPr>
              <w:spacing w:before="120"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Study First Received:</w:t>
            </w:r>
          </w:p>
        </w:tc>
        <w:tc>
          <w:tcPr>
            <w:tcW w:w="0" w:type="auto"/>
            <w:tcMar>
              <w:top w:w="0" w:type="dxa"/>
              <w:left w:w="240" w:type="dxa"/>
              <w:bottom w:w="0" w:type="dxa"/>
              <w:right w:w="0" w:type="dxa"/>
            </w:tcMar>
            <w:hideMark/>
          </w:tcPr>
          <w:p w:rsidR="00D92655" w:rsidRPr="00D92655" w:rsidRDefault="00D92655" w:rsidP="00D92655">
            <w:pPr>
              <w:spacing w:before="120"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September 10, 2014</w:t>
            </w:r>
          </w:p>
        </w:tc>
      </w:tr>
      <w:tr w:rsidR="00D92655" w:rsidRPr="00D92655" w:rsidTr="00D92655">
        <w:trPr>
          <w:tblCellSpacing w:w="0" w:type="dxa"/>
        </w:trPr>
        <w:tc>
          <w:tcPr>
            <w:tcW w:w="0" w:type="auto"/>
            <w:noWrap/>
            <w:hideMark/>
          </w:tcPr>
          <w:p w:rsidR="00D92655" w:rsidRPr="00D92655" w:rsidRDefault="00D92655" w:rsidP="00D92655">
            <w:pPr>
              <w:spacing w:before="120"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Last Updated:</w:t>
            </w:r>
          </w:p>
        </w:tc>
        <w:tc>
          <w:tcPr>
            <w:tcW w:w="0" w:type="auto"/>
            <w:tcMar>
              <w:top w:w="0" w:type="dxa"/>
              <w:left w:w="240" w:type="dxa"/>
              <w:bottom w:w="0" w:type="dxa"/>
              <w:right w:w="0" w:type="dxa"/>
            </w:tcMar>
            <w:hideMark/>
          </w:tcPr>
          <w:p w:rsidR="00D92655" w:rsidRPr="00D92655" w:rsidRDefault="00D92655" w:rsidP="00D92655">
            <w:pPr>
              <w:spacing w:before="120"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November 28, 2014</w:t>
            </w:r>
          </w:p>
        </w:tc>
      </w:tr>
      <w:tr w:rsidR="00D92655" w:rsidRPr="00D92655" w:rsidTr="00D92655">
        <w:trPr>
          <w:tblCellSpacing w:w="0" w:type="dxa"/>
        </w:trPr>
        <w:tc>
          <w:tcPr>
            <w:tcW w:w="0" w:type="auto"/>
            <w:noWrap/>
            <w:hideMark/>
          </w:tcPr>
          <w:p w:rsidR="00D92655" w:rsidRPr="00D92655" w:rsidRDefault="00D92655" w:rsidP="00D92655">
            <w:pPr>
              <w:spacing w:before="120"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Health Authority:</w:t>
            </w:r>
          </w:p>
        </w:tc>
        <w:tc>
          <w:tcPr>
            <w:tcW w:w="0" w:type="auto"/>
            <w:tcMar>
              <w:top w:w="0" w:type="dxa"/>
              <w:left w:w="240" w:type="dxa"/>
              <w:bottom w:w="0" w:type="dxa"/>
              <w:right w:w="0" w:type="dxa"/>
            </w:tcMar>
            <w:hideMark/>
          </w:tcPr>
          <w:p w:rsidR="00D92655" w:rsidRPr="00D92655" w:rsidRDefault="00D92655" w:rsidP="00D92655">
            <w:pPr>
              <w:spacing w:before="120"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Canada: Health Canada</w:t>
            </w:r>
            <w:r w:rsidRPr="00D92655">
              <w:rPr>
                <w:rFonts w:ascii="Arial" w:eastAsia="Times New Roman" w:hAnsi="Arial" w:cs="Arial"/>
                <w:noProof/>
                <w:sz w:val="21"/>
                <w:szCs w:val="21"/>
              </w:rPr>
              <w:br/>
              <w:t>Canada: Ethics Review Committee</w:t>
            </w:r>
          </w:p>
        </w:tc>
      </w:tr>
    </w:tbl>
    <w:p w:rsidR="00D92655" w:rsidRPr="00D92655" w:rsidRDefault="00D92655" w:rsidP="00D92655">
      <w:pPr>
        <w:shd w:val="clear" w:color="auto" w:fill="FFFFFF"/>
        <w:spacing w:after="0" w:line="336" w:lineRule="atLeast"/>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br/>
        <w:t>Keywords provided by Ottawa Hospital Research Institute:</w:t>
      </w:r>
    </w:p>
    <w:tbl>
      <w:tblPr>
        <w:tblW w:w="5000" w:type="pct"/>
        <w:tblCellSpacing w:w="0" w:type="dxa"/>
        <w:tblCellMar>
          <w:left w:w="0" w:type="dxa"/>
          <w:right w:w="0" w:type="dxa"/>
        </w:tblCellMar>
        <w:tblLook w:val="04A0"/>
      </w:tblPr>
      <w:tblGrid>
        <w:gridCol w:w="4703"/>
        <w:gridCol w:w="4703"/>
      </w:tblGrid>
      <w:tr w:rsidR="00D92655" w:rsidRPr="00D92655" w:rsidTr="00D92655">
        <w:trPr>
          <w:gridAfter w:val="1"/>
          <w:tblHeader/>
          <w:tblCellSpacing w:w="0" w:type="dxa"/>
        </w:trPr>
        <w:tc>
          <w:tcPr>
            <w:tcW w:w="0" w:type="auto"/>
            <w:vAlign w:val="center"/>
            <w:hideMark/>
          </w:tcPr>
          <w:p w:rsidR="00D92655" w:rsidRPr="00D92655" w:rsidRDefault="00D92655" w:rsidP="00D92655">
            <w:pPr>
              <w:spacing w:after="0" w:line="240" w:lineRule="auto"/>
              <w:rPr>
                <w:rFonts w:ascii="Times New Roman" w:eastAsia="Times New Roman" w:hAnsi="Times New Roman" w:cs="Times New Roman"/>
                <w:noProof/>
                <w:sz w:val="24"/>
                <w:szCs w:val="24"/>
              </w:rPr>
            </w:pPr>
          </w:p>
        </w:tc>
      </w:tr>
      <w:tr w:rsidR="00D92655" w:rsidRPr="00D92655" w:rsidTr="00D92655">
        <w:trPr>
          <w:tblCellSpacing w:w="0" w:type="dxa"/>
        </w:trPr>
        <w:tc>
          <w:tcPr>
            <w:tcW w:w="2500" w:type="pct"/>
            <w:hideMark/>
          </w:tcPr>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Multiple Sclerosis</w:t>
            </w:r>
            <w:r w:rsidRPr="00D92655">
              <w:rPr>
                <w:rFonts w:ascii="Arial" w:eastAsia="Times New Roman" w:hAnsi="Arial" w:cs="Arial"/>
                <w:noProof/>
                <w:sz w:val="21"/>
                <w:szCs w:val="21"/>
              </w:rPr>
              <w:br/>
              <w:t>Mesenchymal Stem Cells</w:t>
            </w:r>
            <w:r w:rsidRPr="00D92655">
              <w:rPr>
                <w:rFonts w:ascii="Arial" w:eastAsia="Times New Roman" w:hAnsi="Arial" w:cs="Arial"/>
                <w:noProof/>
                <w:sz w:val="21"/>
                <w:szCs w:val="21"/>
              </w:rPr>
              <w:br/>
              <w:t>MSC</w:t>
            </w:r>
          </w:p>
        </w:tc>
        <w:tc>
          <w:tcPr>
            <w:tcW w:w="0" w:type="auto"/>
            <w:hideMark/>
          </w:tcPr>
          <w:p w:rsidR="00D92655" w:rsidRPr="00D92655" w:rsidRDefault="00D92655" w:rsidP="00D92655">
            <w:pPr>
              <w:spacing w:after="0" w:line="336" w:lineRule="atLeast"/>
              <w:rPr>
                <w:rFonts w:ascii="Arial" w:eastAsia="Times New Roman" w:hAnsi="Arial" w:cs="Arial"/>
                <w:noProof/>
                <w:sz w:val="21"/>
                <w:szCs w:val="21"/>
              </w:rPr>
            </w:pPr>
          </w:p>
        </w:tc>
      </w:tr>
    </w:tbl>
    <w:p w:rsidR="00D92655" w:rsidRPr="00D92655" w:rsidRDefault="00D92655" w:rsidP="00D92655">
      <w:pPr>
        <w:shd w:val="clear" w:color="auto" w:fill="FFFFFF"/>
        <w:spacing w:after="0" w:line="336" w:lineRule="atLeast"/>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br/>
        <w:t>Additional relevant MeSH terms:</w:t>
      </w:r>
    </w:p>
    <w:tbl>
      <w:tblPr>
        <w:tblW w:w="5000" w:type="pct"/>
        <w:tblCellSpacing w:w="0" w:type="dxa"/>
        <w:tblCellMar>
          <w:left w:w="0" w:type="dxa"/>
          <w:right w:w="0" w:type="dxa"/>
        </w:tblCellMar>
        <w:tblLook w:val="04A0"/>
      </w:tblPr>
      <w:tblGrid>
        <w:gridCol w:w="4703"/>
        <w:gridCol w:w="4703"/>
      </w:tblGrid>
      <w:tr w:rsidR="00D92655" w:rsidRPr="00D92655" w:rsidTr="00D92655">
        <w:trPr>
          <w:gridAfter w:val="1"/>
          <w:wAfter w:w="4703" w:type="dxa"/>
          <w:tblHeader/>
          <w:tblCellSpacing w:w="0" w:type="dxa"/>
        </w:trPr>
        <w:tc>
          <w:tcPr>
            <w:tcW w:w="0" w:type="auto"/>
            <w:vAlign w:val="center"/>
            <w:hideMark/>
          </w:tcPr>
          <w:p w:rsidR="00D92655" w:rsidRPr="00D92655" w:rsidRDefault="00D92655" w:rsidP="00D92655">
            <w:pPr>
              <w:spacing w:after="0" w:line="240" w:lineRule="auto"/>
              <w:rPr>
                <w:rFonts w:ascii="Times New Roman" w:eastAsia="Times New Roman" w:hAnsi="Times New Roman" w:cs="Times New Roman"/>
                <w:noProof/>
                <w:sz w:val="24"/>
                <w:szCs w:val="24"/>
              </w:rPr>
            </w:pPr>
          </w:p>
        </w:tc>
      </w:tr>
      <w:tr w:rsidR="00D92655" w:rsidRPr="00D92655" w:rsidTr="00D92655">
        <w:trPr>
          <w:tblCellSpacing w:w="0" w:type="dxa"/>
        </w:trPr>
        <w:tc>
          <w:tcPr>
            <w:tcW w:w="2500" w:type="pct"/>
            <w:hideMark/>
          </w:tcPr>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t>Multiple Sclerosis</w:t>
            </w:r>
            <w:r w:rsidRPr="00D92655">
              <w:rPr>
                <w:rFonts w:ascii="Arial" w:eastAsia="Times New Roman" w:hAnsi="Arial" w:cs="Arial"/>
                <w:noProof/>
                <w:sz w:val="21"/>
                <w:szCs w:val="21"/>
              </w:rPr>
              <w:br/>
            </w:r>
            <w:r w:rsidRPr="00D92655">
              <w:rPr>
                <w:rFonts w:ascii="Arial" w:eastAsia="Times New Roman" w:hAnsi="Arial" w:cs="Arial"/>
                <w:noProof/>
                <w:sz w:val="21"/>
                <w:szCs w:val="21"/>
              </w:rPr>
              <w:lastRenderedPageBreak/>
              <w:t>Sclerosis</w:t>
            </w:r>
            <w:r w:rsidRPr="00D92655">
              <w:rPr>
                <w:rFonts w:ascii="Arial" w:eastAsia="Times New Roman" w:hAnsi="Arial" w:cs="Arial"/>
                <w:noProof/>
                <w:sz w:val="21"/>
                <w:szCs w:val="21"/>
              </w:rPr>
              <w:br/>
              <w:t>Autoimmune Diseases</w:t>
            </w:r>
            <w:r w:rsidRPr="00D92655">
              <w:rPr>
                <w:rFonts w:ascii="Arial" w:eastAsia="Times New Roman" w:hAnsi="Arial" w:cs="Arial"/>
                <w:noProof/>
                <w:sz w:val="21"/>
                <w:szCs w:val="21"/>
              </w:rPr>
              <w:br/>
              <w:t>Autoimmune Diseases of the Nervous System</w:t>
            </w:r>
            <w:r w:rsidRPr="00D92655">
              <w:rPr>
                <w:rFonts w:ascii="Arial" w:eastAsia="Times New Roman" w:hAnsi="Arial" w:cs="Arial"/>
                <w:noProof/>
                <w:sz w:val="21"/>
                <w:szCs w:val="21"/>
              </w:rPr>
              <w:br/>
              <w:t>Demyelinating Autoimmune Diseases, CNS</w:t>
            </w:r>
          </w:p>
        </w:tc>
        <w:tc>
          <w:tcPr>
            <w:tcW w:w="2500" w:type="pct"/>
            <w:tcMar>
              <w:top w:w="0" w:type="dxa"/>
              <w:left w:w="240" w:type="dxa"/>
              <w:bottom w:w="0" w:type="dxa"/>
              <w:right w:w="0" w:type="dxa"/>
            </w:tcMar>
            <w:hideMark/>
          </w:tcPr>
          <w:p w:rsidR="00D92655" w:rsidRPr="00D92655" w:rsidRDefault="00D92655" w:rsidP="00D92655">
            <w:pPr>
              <w:spacing w:after="0" w:line="336" w:lineRule="atLeast"/>
              <w:rPr>
                <w:rFonts w:ascii="Arial" w:eastAsia="Times New Roman" w:hAnsi="Arial" w:cs="Arial"/>
                <w:noProof/>
                <w:sz w:val="21"/>
                <w:szCs w:val="21"/>
              </w:rPr>
            </w:pPr>
            <w:r w:rsidRPr="00D92655">
              <w:rPr>
                <w:rFonts w:ascii="Arial" w:eastAsia="Times New Roman" w:hAnsi="Arial" w:cs="Arial"/>
                <w:noProof/>
                <w:sz w:val="21"/>
                <w:szCs w:val="21"/>
              </w:rPr>
              <w:lastRenderedPageBreak/>
              <w:t>Demyelinating Diseases</w:t>
            </w:r>
            <w:r w:rsidRPr="00D92655">
              <w:rPr>
                <w:rFonts w:ascii="Arial" w:eastAsia="Times New Roman" w:hAnsi="Arial" w:cs="Arial"/>
                <w:noProof/>
                <w:sz w:val="21"/>
                <w:szCs w:val="21"/>
              </w:rPr>
              <w:br/>
            </w:r>
            <w:r w:rsidRPr="00D92655">
              <w:rPr>
                <w:rFonts w:ascii="Arial" w:eastAsia="Times New Roman" w:hAnsi="Arial" w:cs="Arial"/>
                <w:noProof/>
                <w:sz w:val="21"/>
                <w:szCs w:val="21"/>
              </w:rPr>
              <w:lastRenderedPageBreak/>
              <w:t>Immune System Diseases</w:t>
            </w:r>
            <w:r w:rsidRPr="00D92655">
              <w:rPr>
                <w:rFonts w:ascii="Arial" w:eastAsia="Times New Roman" w:hAnsi="Arial" w:cs="Arial"/>
                <w:noProof/>
                <w:sz w:val="21"/>
                <w:szCs w:val="21"/>
              </w:rPr>
              <w:br/>
              <w:t>Nervous System Diseases</w:t>
            </w:r>
            <w:r w:rsidRPr="00D92655">
              <w:rPr>
                <w:rFonts w:ascii="Arial" w:eastAsia="Times New Roman" w:hAnsi="Arial" w:cs="Arial"/>
                <w:noProof/>
                <w:sz w:val="21"/>
                <w:szCs w:val="21"/>
              </w:rPr>
              <w:br/>
              <w:t>Pathologic Processes</w:t>
            </w:r>
          </w:p>
        </w:tc>
      </w:tr>
    </w:tbl>
    <w:p w:rsidR="00D92655" w:rsidRPr="00D92655" w:rsidRDefault="00D92655" w:rsidP="00D92655">
      <w:pPr>
        <w:shd w:val="clear" w:color="auto" w:fill="FFFFFF"/>
        <w:spacing w:after="0" w:line="336" w:lineRule="atLeast"/>
        <w:rPr>
          <w:rFonts w:ascii="Arial" w:eastAsia="Times New Roman" w:hAnsi="Arial" w:cs="Arial"/>
          <w:noProof/>
          <w:color w:val="000000"/>
          <w:sz w:val="21"/>
          <w:szCs w:val="21"/>
        </w:rPr>
      </w:pPr>
      <w:r w:rsidRPr="00D92655">
        <w:rPr>
          <w:rFonts w:ascii="Arial" w:eastAsia="Times New Roman" w:hAnsi="Arial" w:cs="Arial"/>
          <w:noProof/>
          <w:color w:val="000000"/>
          <w:sz w:val="21"/>
          <w:szCs w:val="21"/>
        </w:rPr>
        <w:lastRenderedPageBreak/>
        <w:br/>
      </w:r>
      <w:r w:rsidRPr="00D92655">
        <w:rPr>
          <w:rFonts w:ascii="Arial" w:eastAsia="Times New Roman" w:hAnsi="Arial" w:cs="Arial"/>
          <w:noProof/>
          <w:color w:val="000000"/>
          <w:sz w:val="21"/>
        </w:rPr>
        <w:t>ClinicalTrials.gov processed this record on January 29, 2015</w:t>
      </w:r>
    </w:p>
    <w:p w:rsidR="00F30F11" w:rsidRPr="00D92655" w:rsidRDefault="00F30F11" w:rsidP="00D92655">
      <w:pPr>
        <w:rPr>
          <w:noProof/>
        </w:rPr>
      </w:pPr>
    </w:p>
    <w:sectPr w:rsidR="00F30F11" w:rsidRPr="00D92655" w:rsidSect="000562F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03B46"/>
    <w:multiLevelType w:val="multilevel"/>
    <w:tmpl w:val="691A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46419F"/>
    <w:multiLevelType w:val="multilevel"/>
    <w:tmpl w:val="66BE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F3D84"/>
    <w:multiLevelType w:val="multilevel"/>
    <w:tmpl w:val="6720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C4647D"/>
    <w:multiLevelType w:val="multilevel"/>
    <w:tmpl w:val="CBC2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491256"/>
    <w:multiLevelType w:val="multilevel"/>
    <w:tmpl w:val="3C76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5B6972"/>
    <w:multiLevelType w:val="multilevel"/>
    <w:tmpl w:val="0358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3241C1"/>
    <w:multiLevelType w:val="multilevel"/>
    <w:tmpl w:val="A2BC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1C2BDD"/>
    <w:multiLevelType w:val="multilevel"/>
    <w:tmpl w:val="0604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03759A"/>
    <w:multiLevelType w:val="multilevel"/>
    <w:tmpl w:val="ACF6084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4"/>
  </w:num>
  <w:num w:numId="4">
    <w:abstractNumId w:val="2"/>
  </w:num>
  <w:num w:numId="5">
    <w:abstractNumId w:val="6"/>
  </w:num>
  <w:num w:numId="6">
    <w:abstractNumId w:val="3"/>
  </w:num>
  <w:num w:numId="7">
    <w:abstractNumId w:val="5"/>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sJeSzZMPZ+etOZoItk5OO7GXthg=" w:salt="TYuEY96J5byCWLw6xdRCKA=="/>
  <w:defaultTabStop w:val="720"/>
  <w:characterSpacingControl w:val="doNotCompress"/>
  <w:compat>
    <w:useFELayout/>
  </w:compat>
  <w:rsids>
    <w:rsidRoot w:val="00D92655"/>
    <w:rsid w:val="000562FF"/>
    <w:rsid w:val="00C3138D"/>
    <w:rsid w:val="00D92655"/>
    <w:rsid w:val="00F30F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2FF"/>
  </w:style>
  <w:style w:type="paragraph" w:styleId="Heading1">
    <w:name w:val="heading 1"/>
    <w:basedOn w:val="Normal"/>
    <w:link w:val="Heading1Char"/>
    <w:uiPriority w:val="9"/>
    <w:qFormat/>
    <w:rsid w:val="00D926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926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926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65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926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92655"/>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D92655"/>
  </w:style>
  <w:style w:type="paragraph" w:styleId="NormalWeb">
    <w:name w:val="Normal (Web)"/>
    <w:basedOn w:val="Normal"/>
    <w:uiPriority w:val="99"/>
    <w:unhideWhenUsed/>
    <w:rsid w:val="00D926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2655"/>
    <w:rPr>
      <w:b/>
      <w:bCs/>
    </w:rPr>
  </w:style>
  <w:style w:type="character" w:styleId="Hyperlink">
    <w:name w:val="Hyperlink"/>
    <w:basedOn w:val="DefaultParagraphFont"/>
    <w:uiPriority w:val="99"/>
    <w:semiHidden/>
    <w:unhideWhenUsed/>
    <w:rsid w:val="00D92655"/>
    <w:rPr>
      <w:color w:val="0000FF"/>
      <w:u w:val="single"/>
    </w:rPr>
  </w:style>
  <w:style w:type="character" w:customStyle="1" w:styleId="li-content">
    <w:name w:val="li-content"/>
    <w:basedOn w:val="DefaultParagraphFont"/>
    <w:rsid w:val="00D92655"/>
  </w:style>
  <w:style w:type="character" w:customStyle="1" w:styleId="header2">
    <w:name w:val="header2"/>
    <w:basedOn w:val="DefaultParagraphFont"/>
    <w:rsid w:val="00D92655"/>
  </w:style>
  <w:style w:type="character" w:customStyle="1" w:styleId="header3">
    <w:name w:val="header3"/>
    <w:basedOn w:val="DefaultParagraphFont"/>
    <w:rsid w:val="00D92655"/>
  </w:style>
  <w:style w:type="character" w:customStyle="1" w:styleId="body3">
    <w:name w:val="body3"/>
    <w:basedOn w:val="DefaultParagraphFont"/>
    <w:rsid w:val="00D92655"/>
  </w:style>
  <w:style w:type="paragraph" w:styleId="BalloonText">
    <w:name w:val="Balloon Text"/>
    <w:basedOn w:val="Normal"/>
    <w:link w:val="BalloonTextChar"/>
    <w:uiPriority w:val="99"/>
    <w:semiHidden/>
    <w:unhideWhenUsed/>
    <w:rsid w:val="00D92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6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641029">
      <w:bodyDiv w:val="1"/>
      <w:marLeft w:val="0"/>
      <w:marRight w:val="0"/>
      <w:marTop w:val="0"/>
      <w:marBottom w:val="0"/>
      <w:divBdr>
        <w:top w:val="none" w:sz="0" w:space="0" w:color="auto"/>
        <w:left w:val="none" w:sz="0" w:space="0" w:color="auto"/>
        <w:bottom w:val="none" w:sz="0" w:space="0" w:color="auto"/>
        <w:right w:val="none" w:sz="0" w:space="0" w:color="auto"/>
      </w:divBdr>
      <w:divsChild>
        <w:div w:id="864557901">
          <w:marLeft w:val="0"/>
          <w:marRight w:val="0"/>
          <w:marTop w:val="0"/>
          <w:marBottom w:val="450"/>
          <w:divBdr>
            <w:top w:val="none" w:sz="0" w:space="0" w:color="auto"/>
            <w:left w:val="none" w:sz="0" w:space="0" w:color="auto"/>
            <w:bottom w:val="none" w:sz="0" w:space="0" w:color="auto"/>
            <w:right w:val="none" w:sz="0" w:space="0" w:color="auto"/>
          </w:divBdr>
        </w:div>
        <w:div w:id="1926499056">
          <w:marLeft w:val="0"/>
          <w:marRight w:val="0"/>
          <w:marTop w:val="30"/>
          <w:marBottom w:val="30"/>
          <w:divBdr>
            <w:top w:val="none" w:sz="0" w:space="0" w:color="auto"/>
            <w:left w:val="none" w:sz="0" w:space="0" w:color="auto"/>
            <w:bottom w:val="none" w:sz="0" w:space="0" w:color="auto"/>
            <w:right w:val="none" w:sz="0" w:space="0" w:color="auto"/>
          </w:divBdr>
        </w:div>
        <w:div w:id="859515780">
          <w:marLeft w:val="0"/>
          <w:marRight w:val="0"/>
          <w:marTop w:val="30"/>
          <w:marBottom w:val="30"/>
          <w:divBdr>
            <w:top w:val="none" w:sz="0" w:space="0" w:color="auto"/>
            <w:left w:val="none" w:sz="0" w:space="0" w:color="auto"/>
            <w:bottom w:val="none" w:sz="0" w:space="0" w:color="auto"/>
            <w:right w:val="none" w:sz="0" w:space="0" w:color="auto"/>
          </w:divBdr>
        </w:div>
        <w:div w:id="1806969548">
          <w:marLeft w:val="0"/>
          <w:marRight w:val="0"/>
          <w:marTop w:val="30"/>
          <w:marBottom w:val="30"/>
          <w:divBdr>
            <w:top w:val="none" w:sz="0" w:space="0" w:color="auto"/>
            <w:left w:val="none" w:sz="0" w:space="0" w:color="auto"/>
            <w:bottom w:val="none" w:sz="0" w:space="0" w:color="auto"/>
            <w:right w:val="none" w:sz="0" w:space="0" w:color="auto"/>
          </w:divBdr>
        </w:div>
        <w:div w:id="2077043799">
          <w:marLeft w:val="0"/>
          <w:marRight w:val="0"/>
          <w:marTop w:val="30"/>
          <w:marBottom w:val="30"/>
          <w:divBdr>
            <w:top w:val="none" w:sz="0" w:space="0" w:color="auto"/>
            <w:left w:val="none" w:sz="0" w:space="0" w:color="auto"/>
            <w:bottom w:val="none" w:sz="0" w:space="0" w:color="auto"/>
            <w:right w:val="none" w:sz="0" w:space="0" w:color="auto"/>
          </w:divBdr>
        </w:div>
      </w:divsChild>
    </w:div>
    <w:div w:id="401416398">
      <w:bodyDiv w:val="1"/>
      <w:marLeft w:val="0"/>
      <w:marRight w:val="0"/>
      <w:marTop w:val="0"/>
      <w:marBottom w:val="0"/>
      <w:divBdr>
        <w:top w:val="none" w:sz="0" w:space="0" w:color="auto"/>
        <w:left w:val="none" w:sz="0" w:space="0" w:color="auto"/>
        <w:bottom w:val="none" w:sz="0" w:space="0" w:color="auto"/>
        <w:right w:val="none" w:sz="0" w:space="0" w:color="auto"/>
      </w:divBdr>
      <w:divsChild>
        <w:div w:id="1197893360">
          <w:marLeft w:val="0"/>
          <w:marRight w:val="0"/>
          <w:marTop w:val="0"/>
          <w:marBottom w:val="450"/>
          <w:divBdr>
            <w:top w:val="none" w:sz="0" w:space="0" w:color="auto"/>
            <w:left w:val="none" w:sz="0" w:space="0" w:color="auto"/>
            <w:bottom w:val="none" w:sz="0" w:space="0" w:color="auto"/>
            <w:right w:val="none" w:sz="0" w:space="0" w:color="auto"/>
          </w:divBdr>
        </w:div>
      </w:divsChild>
    </w:div>
    <w:div w:id="863634437">
      <w:bodyDiv w:val="1"/>
      <w:marLeft w:val="0"/>
      <w:marRight w:val="0"/>
      <w:marTop w:val="0"/>
      <w:marBottom w:val="0"/>
      <w:divBdr>
        <w:top w:val="none" w:sz="0" w:space="0" w:color="auto"/>
        <w:left w:val="none" w:sz="0" w:space="0" w:color="auto"/>
        <w:bottom w:val="none" w:sz="0" w:space="0" w:color="auto"/>
        <w:right w:val="none" w:sz="0" w:space="0" w:color="auto"/>
      </w:divBdr>
      <w:divsChild>
        <w:div w:id="136190675">
          <w:marLeft w:val="0"/>
          <w:marRight w:val="90"/>
          <w:marTop w:val="0"/>
          <w:marBottom w:val="0"/>
          <w:divBdr>
            <w:top w:val="none" w:sz="0" w:space="0" w:color="auto"/>
            <w:left w:val="none" w:sz="0" w:space="0" w:color="auto"/>
            <w:bottom w:val="none" w:sz="0" w:space="0" w:color="auto"/>
            <w:right w:val="single" w:sz="6" w:space="14" w:color="DADADA"/>
          </w:divBdr>
          <w:divsChild>
            <w:div w:id="1143615610">
              <w:marLeft w:val="0"/>
              <w:marRight w:val="0"/>
              <w:marTop w:val="0"/>
              <w:marBottom w:val="135"/>
              <w:divBdr>
                <w:top w:val="none" w:sz="0" w:space="0" w:color="auto"/>
                <w:left w:val="none" w:sz="0" w:space="0" w:color="auto"/>
                <w:bottom w:val="none" w:sz="0" w:space="0" w:color="auto"/>
                <w:right w:val="none" w:sz="0" w:space="0" w:color="auto"/>
              </w:divBdr>
            </w:div>
            <w:div w:id="1009060564">
              <w:marLeft w:val="0"/>
              <w:marRight w:val="0"/>
              <w:marTop w:val="0"/>
              <w:marBottom w:val="135"/>
              <w:divBdr>
                <w:top w:val="none" w:sz="0" w:space="0" w:color="auto"/>
                <w:left w:val="none" w:sz="0" w:space="0" w:color="auto"/>
                <w:bottom w:val="none" w:sz="0" w:space="0" w:color="auto"/>
                <w:right w:val="none" w:sz="0" w:space="0" w:color="auto"/>
              </w:divBdr>
            </w:div>
            <w:div w:id="2124882886">
              <w:marLeft w:val="0"/>
              <w:marRight w:val="0"/>
              <w:marTop w:val="180"/>
              <w:marBottom w:val="0"/>
              <w:divBdr>
                <w:top w:val="none" w:sz="0" w:space="0" w:color="auto"/>
                <w:left w:val="none" w:sz="0" w:space="0" w:color="auto"/>
                <w:bottom w:val="none" w:sz="0" w:space="0" w:color="auto"/>
                <w:right w:val="none" w:sz="0" w:space="0" w:color="auto"/>
              </w:divBdr>
            </w:div>
            <w:div w:id="1988624557">
              <w:marLeft w:val="0"/>
              <w:marRight w:val="0"/>
              <w:marTop w:val="0"/>
              <w:marBottom w:val="0"/>
              <w:divBdr>
                <w:top w:val="none" w:sz="0" w:space="0" w:color="auto"/>
                <w:left w:val="none" w:sz="0" w:space="0" w:color="auto"/>
                <w:bottom w:val="none" w:sz="0" w:space="0" w:color="auto"/>
                <w:right w:val="none" w:sz="0" w:space="0" w:color="auto"/>
              </w:divBdr>
            </w:div>
            <w:div w:id="1872257807">
              <w:marLeft w:val="0"/>
              <w:marRight w:val="0"/>
              <w:marTop w:val="180"/>
              <w:marBottom w:val="0"/>
              <w:divBdr>
                <w:top w:val="none" w:sz="0" w:space="0" w:color="auto"/>
                <w:left w:val="none" w:sz="0" w:space="0" w:color="auto"/>
                <w:bottom w:val="none" w:sz="0" w:space="0" w:color="auto"/>
                <w:right w:val="none" w:sz="0" w:space="0" w:color="auto"/>
              </w:divBdr>
            </w:div>
            <w:div w:id="1493181186">
              <w:marLeft w:val="0"/>
              <w:marRight w:val="0"/>
              <w:marTop w:val="0"/>
              <w:marBottom w:val="0"/>
              <w:divBdr>
                <w:top w:val="none" w:sz="0" w:space="0" w:color="auto"/>
                <w:left w:val="none" w:sz="0" w:space="0" w:color="auto"/>
                <w:bottom w:val="none" w:sz="0" w:space="0" w:color="auto"/>
                <w:right w:val="none" w:sz="0" w:space="0" w:color="auto"/>
              </w:divBdr>
            </w:div>
          </w:divsChild>
        </w:div>
        <w:div w:id="754009658">
          <w:marLeft w:val="0"/>
          <w:marRight w:val="90"/>
          <w:marTop w:val="0"/>
          <w:marBottom w:val="0"/>
          <w:divBdr>
            <w:top w:val="none" w:sz="0" w:space="0" w:color="auto"/>
            <w:left w:val="none" w:sz="0" w:space="0" w:color="auto"/>
            <w:bottom w:val="none" w:sz="0" w:space="0" w:color="auto"/>
            <w:right w:val="none" w:sz="0" w:space="0" w:color="auto"/>
          </w:divBdr>
          <w:divsChild>
            <w:div w:id="567568472">
              <w:marLeft w:val="0"/>
              <w:marRight w:val="0"/>
              <w:marTop w:val="0"/>
              <w:marBottom w:val="0"/>
              <w:divBdr>
                <w:top w:val="none" w:sz="0" w:space="0" w:color="auto"/>
                <w:left w:val="none" w:sz="0" w:space="0" w:color="auto"/>
                <w:bottom w:val="none" w:sz="0" w:space="0" w:color="auto"/>
                <w:right w:val="none" w:sz="0" w:space="0" w:color="auto"/>
              </w:divBdr>
            </w:div>
            <w:div w:id="268632477">
              <w:marLeft w:val="0"/>
              <w:marRight w:val="0"/>
              <w:marTop w:val="0"/>
              <w:marBottom w:val="135"/>
              <w:divBdr>
                <w:top w:val="none" w:sz="0" w:space="0" w:color="auto"/>
                <w:left w:val="none" w:sz="0" w:space="0" w:color="auto"/>
                <w:bottom w:val="none" w:sz="0" w:space="0" w:color="auto"/>
                <w:right w:val="none" w:sz="0" w:space="0" w:color="auto"/>
              </w:divBdr>
            </w:div>
            <w:div w:id="1670938148">
              <w:marLeft w:val="0"/>
              <w:marRight w:val="0"/>
              <w:marTop w:val="0"/>
              <w:marBottom w:val="0"/>
              <w:divBdr>
                <w:top w:val="none" w:sz="0" w:space="0" w:color="auto"/>
                <w:left w:val="none" w:sz="0" w:space="0" w:color="auto"/>
                <w:bottom w:val="none" w:sz="0" w:space="0" w:color="auto"/>
                <w:right w:val="none" w:sz="0" w:space="0" w:color="auto"/>
              </w:divBdr>
            </w:div>
            <w:div w:id="1504121573">
              <w:marLeft w:val="0"/>
              <w:marRight w:val="0"/>
              <w:marTop w:val="0"/>
              <w:marBottom w:val="0"/>
              <w:divBdr>
                <w:top w:val="none" w:sz="0" w:space="0" w:color="auto"/>
                <w:left w:val="none" w:sz="0" w:space="0" w:color="auto"/>
                <w:bottom w:val="none" w:sz="0" w:space="0" w:color="auto"/>
                <w:right w:val="none" w:sz="0" w:space="0" w:color="auto"/>
              </w:divBdr>
            </w:div>
            <w:div w:id="1627351517">
              <w:marLeft w:val="0"/>
              <w:marRight w:val="0"/>
              <w:marTop w:val="0"/>
              <w:marBottom w:val="0"/>
              <w:divBdr>
                <w:top w:val="none" w:sz="0" w:space="0" w:color="auto"/>
                <w:left w:val="none" w:sz="0" w:space="0" w:color="auto"/>
                <w:bottom w:val="none" w:sz="0" w:space="0" w:color="auto"/>
                <w:right w:val="none" w:sz="0" w:space="0" w:color="auto"/>
              </w:divBdr>
            </w:div>
            <w:div w:id="1517621003">
              <w:marLeft w:val="0"/>
              <w:marRight w:val="0"/>
              <w:marTop w:val="0"/>
              <w:marBottom w:val="0"/>
              <w:divBdr>
                <w:top w:val="none" w:sz="0" w:space="0" w:color="auto"/>
                <w:left w:val="none" w:sz="0" w:space="0" w:color="auto"/>
                <w:bottom w:val="none" w:sz="0" w:space="0" w:color="auto"/>
                <w:right w:val="none" w:sz="0" w:space="0" w:color="auto"/>
              </w:divBdr>
            </w:div>
          </w:divsChild>
        </w:div>
        <w:div w:id="1664233316">
          <w:marLeft w:val="0"/>
          <w:marRight w:val="0"/>
          <w:marTop w:val="90"/>
          <w:marBottom w:val="0"/>
          <w:divBdr>
            <w:top w:val="none" w:sz="0" w:space="0" w:color="auto"/>
            <w:left w:val="none" w:sz="0" w:space="0" w:color="auto"/>
            <w:bottom w:val="none" w:sz="0" w:space="0" w:color="auto"/>
            <w:right w:val="none" w:sz="0" w:space="0" w:color="auto"/>
          </w:divBdr>
        </w:div>
        <w:div w:id="1929577881">
          <w:marLeft w:val="0"/>
          <w:marRight w:val="0"/>
          <w:marTop w:val="360"/>
          <w:marBottom w:val="0"/>
          <w:divBdr>
            <w:top w:val="none" w:sz="0" w:space="0" w:color="auto"/>
            <w:left w:val="none" w:sz="0" w:space="0" w:color="auto"/>
            <w:bottom w:val="none" w:sz="0" w:space="0" w:color="auto"/>
            <w:right w:val="none" w:sz="0" w:space="0" w:color="auto"/>
          </w:divBdr>
          <w:divsChild>
            <w:div w:id="514612133">
              <w:marLeft w:val="0"/>
              <w:marRight w:val="0"/>
              <w:marTop w:val="240"/>
              <w:marBottom w:val="0"/>
              <w:divBdr>
                <w:top w:val="none" w:sz="0" w:space="0" w:color="auto"/>
                <w:left w:val="none" w:sz="0" w:space="0" w:color="auto"/>
                <w:bottom w:val="none" w:sz="0" w:space="0" w:color="auto"/>
                <w:right w:val="none" w:sz="0" w:space="0" w:color="auto"/>
              </w:divBdr>
              <w:divsChild>
                <w:div w:id="791561626">
                  <w:marLeft w:val="0"/>
                  <w:marRight w:val="0"/>
                  <w:marTop w:val="0"/>
                  <w:marBottom w:val="0"/>
                  <w:divBdr>
                    <w:top w:val="none" w:sz="0" w:space="0" w:color="auto"/>
                    <w:left w:val="none" w:sz="0" w:space="0" w:color="auto"/>
                    <w:bottom w:val="none" w:sz="0" w:space="0" w:color="auto"/>
                    <w:right w:val="none" w:sz="0" w:space="0" w:color="auto"/>
                  </w:divBdr>
                </w:div>
                <w:div w:id="1145046686">
                  <w:marLeft w:val="0"/>
                  <w:marRight w:val="0"/>
                  <w:marTop w:val="0"/>
                  <w:marBottom w:val="0"/>
                  <w:divBdr>
                    <w:top w:val="none" w:sz="0" w:space="0" w:color="auto"/>
                    <w:left w:val="none" w:sz="0" w:space="0" w:color="auto"/>
                    <w:bottom w:val="none" w:sz="0" w:space="0" w:color="auto"/>
                    <w:right w:val="none" w:sz="0" w:space="0" w:color="auto"/>
                  </w:divBdr>
                </w:div>
                <w:div w:id="2115634640">
                  <w:marLeft w:val="0"/>
                  <w:marRight w:val="0"/>
                  <w:marTop w:val="0"/>
                  <w:marBottom w:val="0"/>
                  <w:divBdr>
                    <w:top w:val="none" w:sz="0" w:space="0" w:color="auto"/>
                    <w:left w:val="none" w:sz="0" w:space="0" w:color="auto"/>
                    <w:bottom w:val="none" w:sz="0" w:space="0" w:color="auto"/>
                    <w:right w:val="none" w:sz="0" w:space="0" w:color="auto"/>
                  </w:divBdr>
                  <w:divsChild>
                    <w:div w:id="1617178329">
                      <w:marLeft w:val="0"/>
                      <w:marRight w:val="0"/>
                      <w:marTop w:val="0"/>
                      <w:marBottom w:val="240"/>
                      <w:divBdr>
                        <w:top w:val="none" w:sz="0" w:space="0" w:color="auto"/>
                        <w:left w:val="none" w:sz="0" w:space="0" w:color="auto"/>
                        <w:bottom w:val="none" w:sz="0" w:space="0" w:color="auto"/>
                        <w:right w:val="none" w:sz="0" w:space="0" w:color="auto"/>
                      </w:divBdr>
                    </w:div>
                    <w:div w:id="1079061630">
                      <w:marLeft w:val="0"/>
                      <w:marRight w:val="0"/>
                      <w:marTop w:val="0"/>
                      <w:marBottom w:val="240"/>
                      <w:divBdr>
                        <w:top w:val="none" w:sz="0" w:space="0" w:color="auto"/>
                        <w:left w:val="none" w:sz="0" w:space="0" w:color="auto"/>
                        <w:bottom w:val="none" w:sz="0" w:space="0" w:color="auto"/>
                        <w:right w:val="none" w:sz="0" w:space="0" w:color="auto"/>
                      </w:divBdr>
                    </w:div>
                  </w:divsChild>
                </w:div>
                <w:div w:id="1944805091">
                  <w:marLeft w:val="0"/>
                  <w:marRight w:val="0"/>
                  <w:marTop w:val="0"/>
                  <w:marBottom w:val="0"/>
                  <w:divBdr>
                    <w:top w:val="none" w:sz="0" w:space="0" w:color="auto"/>
                    <w:left w:val="none" w:sz="0" w:space="0" w:color="auto"/>
                    <w:bottom w:val="none" w:sz="0" w:space="0" w:color="auto"/>
                    <w:right w:val="none" w:sz="0" w:space="0" w:color="auto"/>
                  </w:divBdr>
                </w:div>
                <w:div w:id="492334689">
                  <w:marLeft w:val="0"/>
                  <w:marRight w:val="0"/>
                  <w:marTop w:val="0"/>
                  <w:marBottom w:val="0"/>
                  <w:divBdr>
                    <w:top w:val="none" w:sz="0" w:space="0" w:color="auto"/>
                    <w:left w:val="none" w:sz="0" w:space="0" w:color="auto"/>
                    <w:bottom w:val="none" w:sz="0" w:space="0" w:color="auto"/>
                    <w:right w:val="none" w:sz="0" w:space="0" w:color="auto"/>
                  </w:divBdr>
                  <w:divsChild>
                    <w:div w:id="253056010">
                      <w:marLeft w:val="0"/>
                      <w:marRight w:val="0"/>
                      <w:marTop w:val="0"/>
                      <w:marBottom w:val="0"/>
                      <w:divBdr>
                        <w:top w:val="none" w:sz="0" w:space="0" w:color="auto"/>
                        <w:left w:val="none" w:sz="0" w:space="0" w:color="auto"/>
                        <w:bottom w:val="none" w:sz="0" w:space="0" w:color="auto"/>
                        <w:right w:val="none" w:sz="0" w:space="0" w:color="auto"/>
                      </w:divBdr>
                      <w:divsChild>
                        <w:div w:id="1731420907">
                          <w:marLeft w:val="0"/>
                          <w:marRight w:val="0"/>
                          <w:marTop w:val="120"/>
                          <w:marBottom w:val="0"/>
                          <w:divBdr>
                            <w:top w:val="none" w:sz="0" w:space="0" w:color="auto"/>
                            <w:left w:val="none" w:sz="0" w:space="0" w:color="auto"/>
                            <w:bottom w:val="none" w:sz="0" w:space="0" w:color="auto"/>
                            <w:right w:val="none" w:sz="0" w:space="0" w:color="auto"/>
                          </w:divBdr>
                        </w:div>
                        <w:div w:id="121123026">
                          <w:marLeft w:val="0"/>
                          <w:marRight w:val="0"/>
                          <w:marTop w:val="120"/>
                          <w:marBottom w:val="0"/>
                          <w:divBdr>
                            <w:top w:val="none" w:sz="0" w:space="0" w:color="auto"/>
                            <w:left w:val="none" w:sz="0" w:space="0" w:color="auto"/>
                            <w:bottom w:val="none" w:sz="0" w:space="0" w:color="auto"/>
                            <w:right w:val="none" w:sz="0" w:space="0" w:color="auto"/>
                          </w:divBdr>
                        </w:div>
                      </w:divsChild>
                    </w:div>
                    <w:div w:id="1190753861">
                      <w:marLeft w:val="0"/>
                      <w:marRight w:val="0"/>
                      <w:marTop w:val="0"/>
                      <w:marBottom w:val="0"/>
                      <w:divBdr>
                        <w:top w:val="none" w:sz="0" w:space="0" w:color="auto"/>
                        <w:left w:val="none" w:sz="0" w:space="0" w:color="auto"/>
                        <w:bottom w:val="none" w:sz="0" w:space="0" w:color="auto"/>
                        <w:right w:val="none" w:sz="0" w:space="0" w:color="auto"/>
                      </w:divBdr>
                      <w:divsChild>
                        <w:div w:id="2014991888">
                          <w:marLeft w:val="0"/>
                          <w:marRight w:val="0"/>
                          <w:marTop w:val="120"/>
                          <w:marBottom w:val="0"/>
                          <w:divBdr>
                            <w:top w:val="none" w:sz="0" w:space="0" w:color="auto"/>
                            <w:left w:val="none" w:sz="0" w:space="0" w:color="auto"/>
                            <w:bottom w:val="none" w:sz="0" w:space="0" w:color="auto"/>
                            <w:right w:val="none" w:sz="0" w:space="0" w:color="auto"/>
                          </w:divBdr>
                        </w:div>
                        <w:div w:id="944922166">
                          <w:marLeft w:val="0"/>
                          <w:marRight w:val="0"/>
                          <w:marTop w:val="120"/>
                          <w:marBottom w:val="0"/>
                          <w:divBdr>
                            <w:top w:val="none" w:sz="0" w:space="0" w:color="auto"/>
                            <w:left w:val="none" w:sz="0" w:space="0" w:color="auto"/>
                            <w:bottom w:val="none" w:sz="0" w:space="0" w:color="auto"/>
                            <w:right w:val="none" w:sz="0" w:space="0" w:color="auto"/>
                          </w:divBdr>
                        </w:div>
                        <w:div w:id="1908149064">
                          <w:marLeft w:val="0"/>
                          <w:marRight w:val="0"/>
                          <w:marTop w:val="120"/>
                          <w:marBottom w:val="0"/>
                          <w:divBdr>
                            <w:top w:val="none" w:sz="0" w:space="0" w:color="auto"/>
                            <w:left w:val="none" w:sz="0" w:space="0" w:color="auto"/>
                            <w:bottom w:val="none" w:sz="0" w:space="0" w:color="auto"/>
                            <w:right w:val="none" w:sz="0" w:space="0" w:color="auto"/>
                          </w:divBdr>
                        </w:div>
                        <w:div w:id="1474834138">
                          <w:marLeft w:val="0"/>
                          <w:marRight w:val="0"/>
                          <w:marTop w:val="120"/>
                          <w:marBottom w:val="0"/>
                          <w:divBdr>
                            <w:top w:val="none" w:sz="0" w:space="0" w:color="auto"/>
                            <w:left w:val="none" w:sz="0" w:space="0" w:color="auto"/>
                            <w:bottom w:val="none" w:sz="0" w:space="0" w:color="auto"/>
                            <w:right w:val="none" w:sz="0" w:space="0" w:color="auto"/>
                          </w:divBdr>
                        </w:div>
                        <w:div w:id="1704284197">
                          <w:marLeft w:val="0"/>
                          <w:marRight w:val="0"/>
                          <w:marTop w:val="120"/>
                          <w:marBottom w:val="0"/>
                          <w:divBdr>
                            <w:top w:val="none" w:sz="0" w:space="0" w:color="auto"/>
                            <w:left w:val="none" w:sz="0" w:space="0" w:color="auto"/>
                            <w:bottom w:val="none" w:sz="0" w:space="0" w:color="auto"/>
                            <w:right w:val="none" w:sz="0" w:space="0" w:color="auto"/>
                          </w:divBdr>
                        </w:div>
                      </w:divsChild>
                    </w:div>
                    <w:div w:id="1887570545">
                      <w:marLeft w:val="0"/>
                      <w:marRight w:val="0"/>
                      <w:marTop w:val="60"/>
                      <w:marBottom w:val="0"/>
                      <w:divBdr>
                        <w:top w:val="none" w:sz="0" w:space="0" w:color="auto"/>
                        <w:left w:val="none" w:sz="0" w:space="0" w:color="auto"/>
                        <w:bottom w:val="none" w:sz="0" w:space="0" w:color="auto"/>
                        <w:right w:val="none" w:sz="0" w:space="0" w:color="auto"/>
                      </w:divBdr>
                    </w:div>
                    <w:div w:id="638999551">
                      <w:marLeft w:val="0"/>
                      <w:marRight w:val="0"/>
                      <w:marTop w:val="60"/>
                      <w:marBottom w:val="0"/>
                      <w:divBdr>
                        <w:top w:val="none" w:sz="0" w:space="0" w:color="auto"/>
                        <w:left w:val="none" w:sz="0" w:space="0" w:color="auto"/>
                        <w:bottom w:val="none" w:sz="0" w:space="0" w:color="auto"/>
                        <w:right w:val="none" w:sz="0" w:space="0" w:color="auto"/>
                      </w:divBdr>
                    </w:div>
                    <w:div w:id="1714192131">
                      <w:marLeft w:val="0"/>
                      <w:marRight w:val="0"/>
                      <w:marTop w:val="60"/>
                      <w:marBottom w:val="0"/>
                      <w:divBdr>
                        <w:top w:val="none" w:sz="0" w:space="0" w:color="auto"/>
                        <w:left w:val="none" w:sz="0" w:space="0" w:color="auto"/>
                        <w:bottom w:val="none" w:sz="0" w:space="0" w:color="auto"/>
                        <w:right w:val="none" w:sz="0" w:space="0" w:color="auto"/>
                      </w:divBdr>
                    </w:div>
                    <w:div w:id="17747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23605">
          <w:marLeft w:val="0"/>
          <w:marRight w:val="0"/>
          <w:marTop w:val="360"/>
          <w:marBottom w:val="0"/>
          <w:divBdr>
            <w:top w:val="single" w:sz="6" w:space="0" w:color="FFFFFF"/>
            <w:left w:val="single" w:sz="6" w:space="0" w:color="FFFFFF"/>
            <w:bottom w:val="single" w:sz="6" w:space="0" w:color="FFFFFF"/>
            <w:right w:val="single" w:sz="6" w:space="0" w:color="FFFFFF"/>
          </w:divBdr>
          <w:divsChild>
            <w:div w:id="1761756371">
              <w:marLeft w:val="0"/>
              <w:marRight w:val="0"/>
              <w:marTop w:val="0"/>
              <w:marBottom w:val="0"/>
              <w:divBdr>
                <w:top w:val="none" w:sz="0" w:space="0" w:color="auto"/>
                <w:left w:val="none" w:sz="0" w:space="0" w:color="auto"/>
                <w:bottom w:val="none" w:sz="0" w:space="0" w:color="auto"/>
                <w:right w:val="none" w:sz="0" w:space="0" w:color="auto"/>
              </w:divBdr>
              <w:divsChild>
                <w:div w:id="1089159806">
                  <w:marLeft w:val="0"/>
                  <w:marRight w:val="0"/>
                  <w:marTop w:val="240"/>
                  <w:marBottom w:val="0"/>
                  <w:divBdr>
                    <w:top w:val="none" w:sz="0" w:space="0" w:color="auto"/>
                    <w:left w:val="none" w:sz="0" w:space="0" w:color="auto"/>
                    <w:bottom w:val="none" w:sz="0" w:space="0" w:color="auto"/>
                    <w:right w:val="none" w:sz="0" w:space="0" w:color="auto"/>
                  </w:divBdr>
                </w:div>
                <w:div w:id="10634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90839">
          <w:marLeft w:val="0"/>
          <w:marRight w:val="0"/>
          <w:marTop w:val="360"/>
          <w:marBottom w:val="0"/>
          <w:divBdr>
            <w:top w:val="none" w:sz="0" w:space="0" w:color="auto"/>
            <w:left w:val="none" w:sz="0" w:space="0" w:color="auto"/>
            <w:bottom w:val="none" w:sz="0" w:space="0" w:color="auto"/>
            <w:right w:val="none" w:sz="0" w:space="0" w:color="auto"/>
          </w:divBdr>
          <w:divsChild>
            <w:div w:id="576864000">
              <w:marLeft w:val="0"/>
              <w:marRight w:val="0"/>
              <w:marTop w:val="240"/>
              <w:marBottom w:val="0"/>
              <w:divBdr>
                <w:top w:val="none" w:sz="0" w:space="0" w:color="auto"/>
                <w:left w:val="none" w:sz="0" w:space="0" w:color="auto"/>
                <w:bottom w:val="none" w:sz="0" w:space="0" w:color="auto"/>
                <w:right w:val="none" w:sz="0" w:space="0" w:color="auto"/>
              </w:divBdr>
              <w:divsChild>
                <w:div w:id="1172529002">
                  <w:marLeft w:val="0"/>
                  <w:marRight w:val="0"/>
                  <w:marTop w:val="240"/>
                  <w:marBottom w:val="0"/>
                  <w:divBdr>
                    <w:top w:val="none" w:sz="0" w:space="0" w:color="auto"/>
                    <w:left w:val="none" w:sz="0" w:space="0" w:color="auto"/>
                    <w:bottom w:val="none" w:sz="0" w:space="0" w:color="auto"/>
                    <w:right w:val="none" w:sz="0" w:space="0" w:color="auto"/>
                  </w:divBdr>
                </w:div>
                <w:div w:id="2070683991">
                  <w:marLeft w:val="0"/>
                  <w:marRight w:val="0"/>
                  <w:marTop w:val="240"/>
                  <w:marBottom w:val="0"/>
                  <w:divBdr>
                    <w:top w:val="none" w:sz="0" w:space="0" w:color="auto"/>
                    <w:left w:val="none" w:sz="0" w:space="0" w:color="auto"/>
                    <w:bottom w:val="none" w:sz="0" w:space="0" w:color="auto"/>
                    <w:right w:val="none" w:sz="0" w:space="0" w:color="auto"/>
                  </w:divBdr>
                </w:div>
                <w:div w:id="319886465">
                  <w:marLeft w:val="0"/>
                  <w:marRight w:val="0"/>
                  <w:marTop w:val="240"/>
                  <w:marBottom w:val="0"/>
                  <w:divBdr>
                    <w:top w:val="none" w:sz="0" w:space="0" w:color="auto"/>
                    <w:left w:val="none" w:sz="0" w:space="0" w:color="auto"/>
                    <w:bottom w:val="none" w:sz="0" w:space="0" w:color="auto"/>
                    <w:right w:val="none" w:sz="0" w:space="0" w:color="auto"/>
                  </w:divBdr>
                </w:div>
                <w:div w:id="660504031">
                  <w:marLeft w:val="0"/>
                  <w:marRight w:val="0"/>
                  <w:marTop w:val="120"/>
                  <w:marBottom w:val="0"/>
                  <w:divBdr>
                    <w:top w:val="none" w:sz="0" w:space="0" w:color="auto"/>
                    <w:left w:val="none" w:sz="0" w:space="0" w:color="auto"/>
                    <w:bottom w:val="none" w:sz="0" w:space="0" w:color="auto"/>
                    <w:right w:val="none" w:sz="0" w:space="0" w:color="auto"/>
                  </w:divBdr>
                </w:div>
                <w:div w:id="342819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59733504">
          <w:marLeft w:val="0"/>
          <w:marRight w:val="0"/>
          <w:marTop w:val="360"/>
          <w:marBottom w:val="0"/>
          <w:divBdr>
            <w:top w:val="single" w:sz="6" w:space="0" w:color="FFFFFF"/>
            <w:left w:val="single" w:sz="6" w:space="0" w:color="FFFFFF"/>
            <w:bottom w:val="single" w:sz="6" w:space="0" w:color="FFFFFF"/>
            <w:right w:val="single" w:sz="6" w:space="0" w:color="FFFFFF"/>
          </w:divBdr>
          <w:divsChild>
            <w:div w:id="1653757891">
              <w:marLeft w:val="0"/>
              <w:marRight w:val="0"/>
              <w:marTop w:val="0"/>
              <w:marBottom w:val="0"/>
              <w:divBdr>
                <w:top w:val="none" w:sz="0" w:space="0" w:color="auto"/>
                <w:left w:val="none" w:sz="0" w:space="0" w:color="auto"/>
                <w:bottom w:val="none" w:sz="0" w:space="0" w:color="auto"/>
                <w:right w:val="none" w:sz="0" w:space="0" w:color="auto"/>
              </w:divBdr>
              <w:divsChild>
                <w:div w:id="505553546">
                  <w:marLeft w:val="0"/>
                  <w:marRight w:val="0"/>
                  <w:marTop w:val="0"/>
                  <w:marBottom w:val="0"/>
                  <w:divBdr>
                    <w:top w:val="none" w:sz="0" w:space="0" w:color="auto"/>
                    <w:left w:val="none" w:sz="0" w:space="0" w:color="auto"/>
                    <w:bottom w:val="none" w:sz="0" w:space="0" w:color="auto"/>
                    <w:right w:val="none" w:sz="0" w:space="0" w:color="auto"/>
                  </w:divBdr>
                </w:div>
                <w:div w:id="4127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ttawahospital.on.ca/" TargetMode="External"/><Relationship Id="rId13" Type="http://schemas.openxmlformats.org/officeDocument/2006/relationships/hyperlink" Target="http://aw.ca/" TargetMode="External"/><Relationship Id="rId18" Type="http://schemas.openxmlformats.org/officeDocument/2006/relationships/hyperlink" Target="http://clinicaltrials.gov/ct2/show/NCT02239393?term=freedman+mesenchymal+stem+cells&amp;rank=1" TargetMode="External"/><Relationship Id="rId26" Type="http://schemas.openxmlformats.org/officeDocument/2006/relationships/hyperlink" Target="http://ghr.nlm.nih.gov/" TargetMode="External"/><Relationship Id="rId39" Type="http://schemas.openxmlformats.org/officeDocument/2006/relationships/hyperlink" Target="https://clinicaltrials.gov/ct2/archive/NCT02239393" TargetMode="External"/><Relationship Id="rId3" Type="http://schemas.openxmlformats.org/officeDocument/2006/relationships/settings" Target="settings.xml"/><Relationship Id="rId21" Type="http://schemas.openxmlformats.org/officeDocument/2006/relationships/hyperlink" Target="https://clinicaltrials.gov/ct2/show/study/NCT02239393" TargetMode="External"/><Relationship Id="rId34" Type="http://schemas.openxmlformats.org/officeDocument/2006/relationships/hyperlink" Target="mailto:MESCAMS%40ohri.ca?subject=NCT02239393,%2020140368,%20Safety%20and%20Efficacy%20of%20Intravenous%20Autologous%20Mesenchymal%20Stem%20Cells%20for%20MS:%20a%20Phase%202%20Proof%20of%20Concept%20Study" TargetMode="External"/><Relationship Id="rId7" Type="http://schemas.openxmlformats.org/officeDocument/2006/relationships/hyperlink" Target="https://beta.mssociety.ca/research-news/hot-topics-in-research/stem-cells" TargetMode="External"/><Relationship Id="rId12" Type="http://schemas.openxmlformats.org/officeDocument/2006/relationships/hyperlink" Target="http://researchmanitoba.ca/" TargetMode="External"/><Relationship Id="rId17" Type="http://schemas.openxmlformats.org/officeDocument/2006/relationships/hyperlink" Target="https://beta.mssociety.ca/about-our-research-program/research-we-fund/glossary-of-research-terms" TargetMode="External"/><Relationship Id="rId25" Type="http://schemas.openxmlformats.org/officeDocument/2006/relationships/hyperlink" Target="https://clinicaltrials.gov/ct2/help/phase_desc" TargetMode="External"/><Relationship Id="rId33" Type="http://schemas.openxmlformats.org/officeDocument/2006/relationships/hyperlink" Target="https://clinicaltrials.gov/ct2/about-studies/learn" TargetMode="External"/><Relationship Id="rId38" Type="http://schemas.openxmlformats.org/officeDocument/2006/relationships/hyperlink" Target="http://clinicaltrials.gov/show/NCT02239393" TargetMode="External"/><Relationship Id="rId2" Type="http://schemas.openxmlformats.org/officeDocument/2006/relationships/styles" Target="styles.xml"/><Relationship Id="rId16" Type="http://schemas.openxmlformats.org/officeDocument/2006/relationships/hyperlink" Target="https://beta.mssociety.ca/about-our-research-program/research-we-fund/glossary-of-research-terms" TargetMode="External"/><Relationship Id="rId20" Type="http://schemas.openxmlformats.org/officeDocument/2006/relationships/hyperlink" Target="https://beta.mssociety.ca/research-news/article/multiple-sclerosis-scientific-research-foundation-funded-study-advances-understanding-of-risky-but-effective-stem-cell-treatment" TargetMode="External"/><Relationship Id="rId29" Type="http://schemas.openxmlformats.org/officeDocument/2006/relationships/hyperlink" Target="https://clinicaltrials.gov/ct2/bye/xQoPWw4lZX-i-iSxudhWudNzlXNiZip9m67PvQ7xzwhaLwS9mi7aWQ13v61g0dhHSd-gewSxlihLv."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umanitoba.ca/faculties/medicine/units/intmed/about/marriott.html" TargetMode="External"/><Relationship Id="rId11" Type="http://schemas.openxmlformats.org/officeDocument/2006/relationships/hyperlink" Target="http://clinicaltrials.gov/show/NCT02239393" TargetMode="External"/><Relationship Id="rId24" Type="http://schemas.openxmlformats.org/officeDocument/2006/relationships/hyperlink" Target="https://clinicaltrials.gov/ct2/help/interventions_desc" TargetMode="External"/><Relationship Id="rId32" Type="http://schemas.openxmlformats.org/officeDocument/2006/relationships/hyperlink" Target="https://clinicaltrials.gov/ct2/help/interventions_desc" TargetMode="External"/><Relationship Id="rId37" Type="http://schemas.openxmlformats.org/officeDocument/2006/relationships/hyperlink" Target="mailto:MESCAMS%40ohri.ca?subject=NCT02239393,%2020140368,%20Safety%20and%20Efficacy%20of%20Intravenous%20Autologous%20Mesenchymal%20Stem%20Cells%20for%20MS:%20a%20Phase%202%20Proof%20of%20Concept%20Study" TargetMode="External"/><Relationship Id="rId40" Type="http://schemas.openxmlformats.org/officeDocument/2006/relationships/fontTable" Target="fontTable.xml"/><Relationship Id="rId5" Type="http://schemas.openxmlformats.org/officeDocument/2006/relationships/hyperlink" Target="http://www.ohri.ca/profile/msfreedman" TargetMode="External"/><Relationship Id="rId15" Type="http://schemas.openxmlformats.org/officeDocument/2006/relationships/hyperlink" Target="http://umanitoba.ca/faculties/medicine/units/intmed/about/marriott.html" TargetMode="External"/><Relationship Id="rId23" Type="http://schemas.openxmlformats.org/officeDocument/2006/relationships/hyperlink" Target="https://clinicaltrials.gov/ct2/help/conditions_desc" TargetMode="External"/><Relationship Id="rId28" Type="http://schemas.openxmlformats.org/officeDocument/2006/relationships/hyperlink" Target="http://www.nlm.nih.gov/medlineplus/" TargetMode="External"/><Relationship Id="rId36" Type="http://schemas.openxmlformats.org/officeDocument/2006/relationships/hyperlink" Target="mailto:bstanger%40hsc.mb.ca?subject=NCT02239393,%2020140368,%20Safety%20and%20Efficacy%20of%20Intravenous%20Autologous%20Mesenchymal%20Stem%20Cells%20for%20MS:%20a%20Phase%202%20Proof%20of%20Concept%20Study" TargetMode="External"/><Relationship Id="rId10" Type="http://schemas.openxmlformats.org/officeDocument/2006/relationships/hyperlink" Target="https://beta.mssociety.ca/research-news/article/multiple-sclerosis-scientific-research-foundation-funded-study-advances-understanding-of-risky-but-effective-stem-cell-treatment" TargetMode="External"/><Relationship Id="rId19" Type="http://schemas.openxmlformats.org/officeDocument/2006/relationships/hyperlink" Target="https://beta.mssociety.ca/about-our-research-program/research-we-fund/glossary-of-research-terms" TargetMode="External"/><Relationship Id="rId31" Type="http://schemas.openxmlformats.org/officeDocument/2006/relationships/hyperlink" Target="https://clinicaltrials.gov/ct2/help/arm_group_desc" TargetMode="External"/><Relationship Id="rId4" Type="http://schemas.openxmlformats.org/officeDocument/2006/relationships/webSettings" Target="webSettings.xml"/><Relationship Id="rId9" Type="http://schemas.openxmlformats.org/officeDocument/2006/relationships/hyperlink" Target="http://umanitoba.ca/faculties/medicine/" TargetMode="External"/><Relationship Id="rId14" Type="http://schemas.openxmlformats.org/officeDocument/2006/relationships/hyperlink" Target="http://www.ohri.ca/profile/msfreedman" TargetMode="External"/><Relationship Id="rId22" Type="http://schemas.openxmlformats.org/officeDocument/2006/relationships/image" Target="media/image1.gif"/><Relationship Id="rId27" Type="http://schemas.openxmlformats.org/officeDocument/2006/relationships/hyperlink" Target="https://clinicaltrials.gov/ct2/bye/FQoPWw4lZXcilwpxudhWudNzlXNiZip90dcx5Q1PedcOZd1HvihzEdh8mwcgv61yZwczF." TargetMode="External"/><Relationship Id="rId30" Type="http://schemas.openxmlformats.org/officeDocument/2006/relationships/hyperlink" Target="https://clinicaltrials.gov/ct2/info/fdalinks" TargetMode="External"/><Relationship Id="rId35" Type="http://schemas.openxmlformats.org/officeDocument/2006/relationships/hyperlink" Target="mailto:jmarriott%40exchange.hsc.mb.ca?subject=NCT02239393,%2020140368,%20Safety%20and%20Efficacy%20of%20Intravenous%20Autologous%20Mesenchymal%20Stem%20Cells%20for%20MS:%20a%20Phase%202%20Proof%20of%20Concept%20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4002</Words>
  <Characters>22814</Characters>
  <Application>Microsoft Office Word</Application>
  <DocSecurity>8</DocSecurity>
  <Lines>190</Lines>
  <Paragraphs>53</Paragraphs>
  <ScaleCrop>false</ScaleCrop>
  <Company/>
  <LinksUpToDate>false</LinksUpToDate>
  <CharactersWithSpaces>26763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2015-02-01T22:11:00Z</dcterms:created>
  <dcterms:modified xsi:type="dcterms:W3CDTF">2015-02-02T00:24:00Z</dcterms:modified>
</cp:coreProperties>
</file>